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89A09" w14:textId="77777777" w:rsidR="00237CE9" w:rsidRPr="00DA1639" w:rsidRDefault="00237CE9" w:rsidP="00237CE9">
      <w:pPr>
        <w:rPr>
          <w:rFonts w:ascii="Verdana" w:hAnsi="Verdana" w:cs="Arial"/>
          <w:b/>
          <w:bCs/>
          <w:sz w:val="19"/>
          <w:szCs w:val="19"/>
        </w:rPr>
      </w:pPr>
    </w:p>
    <w:p w14:paraId="1513E038" w14:textId="0C0403F7" w:rsidR="00282B66" w:rsidRDefault="00EA3E8E" w:rsidP="00237CE9">
      <w:pPr>
        <w:rPr>
          <w:rFonts w:ascii="Verdana" w:hAnsi="Verdana" w:cs="Arial"/>
          <w:b/>
          <w:bCs/>
          <w:sz w:val="19"/>
          <w:szCs w:val="19"/>
        </w:rPr>
      </w:pPr>
      <w:r>
        <w:rPr>
          <w:rFonts w:ascii="Verdana" w:hAnsi="Verdana" w:cs="Arial"/>
          <w:b/>
          <w:bCs/>
          <w:sz w:val="19"/>
          <w:szCs w:val="19"/>
        </w:rPr>
        <w:t>A</w:t>
      </w:r>
      <w:r w:rsidR="00C5196F">
        <w:rPr>
          <w:rFonts w:ascii="Verdana" w:hAnsi="Verdana" w:cs="Arial"/>
          <w:b/>
          <w:bCs/>
          <w:sz w:val="19"/>
          <w:szCs w:val="19"/>
        </w:rPr>
        <w:t>PPENDIX</w:t>
      </w:r>
      <w:r>
        <w:rPr>
          <w:rFonts w:ascii="Verdana" w:hAnsi="Verdana" w:cs="Arial"/>
          <w:b/>
          <w:bCs/>
          <w:sz w:val="19"/>
          <w:szCs w:val="19"/>
        </w:rPr>
        <w:t xml:space="preserve"> </w:t>
      </w:r>
      <w:r w:rsidR="00673B58">
        <w:rPr>
          <w:rFonts w:ascii="Verdana" w:hAnsi="Verdana" w:cs="Arial"/>
          <w:b/>
          <w:bCs/>
          <w:sz w:val="19"/>
          <w:szCs w:val="19"/>
        </w:rPr>
        <w:t>C</w:t>
      </w:r>
      <w:r w:rsidR="00237CE9" w:rsidRPr="00DA1639">
        <w:rPr>
          <w:rFonts w:ascii="Verdana" w:hAnsi="Verdana" w:cs="Arial"/>
          <w:b/>
          <w:bCs/>
          <w:sz w:val="19"/>
          <w:szCs w:val="19"/>
        </w:rPr>
        <w:t xml:space="preserve">: </w:t>
      </w:r>
      <w:r w:rsidR="00282B66">
        <w:rPr>
          <w:rFonts w:ascii="Verdana" w:hAnsi="Verdana" w:cs="Arial"/>
          <w:b/>
          <w:bCs/>
          <w:sz w:val="19"/>
          <w:szCs w:val="19"/>
        </w:rPr>
        <w:t>POUND ROAD INDUSTRIAL DEVELOPMENT</w:t>
      </w:r>
    </w:p>
    <w:p w14:paraId="7ADA307F" w14:textId="369E0578" w:rsidR="00237CE9" w:rsidRDefault="00C5196F" w:rsidP="00237CE9">
      <w:pPr>
        <w:rPr>
          <w:rFonts w:ascii="Verdana" w:hAnsi="Verdana" w:cs="Arial"/>
          <w:b/>
          <w:bCs/>
          <w:sz w:val="19"/>
          <w:szCs w:val="19"/>
        </w:rPr>
      </w:pPr>
      <w:r>
        <w:rPr>
          <w:rFonts w:ascii="Verdana" w:hAnsi="Verdana" w:cs="Arial"/>
          <w:b/>
          <w:bCs/>
          <w:sz w:val="19"/>
          <w:szCs w:val="19"/>
        </w:rPr>
        <w:t xml:space="preserve">CONDITIONS - </w:t>
      </w:r>
      <w:r w:rsidR="00237CE9" w:rsidRPr="00DA1639">
        <w:rPr>
          <w:rFonts w:ascii="Verdana" w:hAnsi="Verdana" w:cs="Arial"/>
          <w:b/>
          <w:bCs/>
          <w:sz w:val="19"/>
          <w:szCs w:val="19"/>
        </w:rPr>
        <w:t>DOC W</w:t>
      </w:r>
      <w:r>
        <w:rPr>
          <w:rFonts w:ascii="Verdana" w:hAnsi="Verdana" w:cs="Arial"/>
          <w:b/>
          <w:bCs/>
          <w:sz w:val="19"/>
          <w:szCs w:val="19"/>
        </w:rPr>
        <w:t>ILDLIFE APPROVAL</w:t>
      </w:r>
      <w:r w:rsidR="00237CE9" w:rsidRPr="00DA1639">
        <w:rPr>
          <w:rFonts w:ascii="Verdana" w:hAnsi="Verdana" w:cs="Arial"/>
          <w:b/>
          <w:bCs/>
          <w:sz w:val="19"/>
          <w:szCs w:val="19"/>
        </w:rPr>
        <w:t xml:space="preserve"> – Lizards </w:t>
      </w:r>
    </w:p>
    <w:p w14:paraId="19CAE51B" w14:textId="413FAB89" w:rsidR="0079247C" w:rsidRDefault="0079247C" w:rsidP="00237CE9">
      <w:pPr>
        <w:rPr>
          <w:rFonts w:ascii="Verdana" w:hAnsi="Verdana" w:cs="Arial"/>
          <w:b/>
          <w:bCs/>
          <w:sz w:val="19"/>
          <w:szCs w:val="19"/>
        </w:rPr>
      </w:pPr>
      <w:r>
        <w:rPr>
          <w:rFonts w:ascii="Verdana" w:hAnsi="Verdana" w:cs="Arial"/>
          <w:b/>
          <w:bCs/>
          <w:sz w:val="19"/>
          <w:szCs w:val="19"/>
        </w:rPr>
        <w:t>UPDATED 16 MARCH 2026</w:t>
      </w:r>
    </w:p>
    <w:p w14:paraId="7F229B3A" w14:textId="3E556DC5" w:rsidR="00BB77A9" w:rsidRDefault="00BB77A9" w:rsidP="00237CE9">
      <w:pPr>
        <w:rPr>
          <w:rFonts w:ascii="Verdana" w:hAnsi="Verdana" w:cs="Arial"/>
          <w:b/>
          <w:bCs/>
          <w:sz w:val="19"/>
          <w:szCs w:val="19"/>
        </w:rPr>
      </w:pPr>
      <w:r w:rsidRPr="00BB77A9">
        <w:rPr>
          <w:rFonts w:ascii="Verdana" w:hAnsi="Verdana" w:cs="Arial"/>
          <w:b/>
          <w:bCs/>
          <w:sz w:val="19"/>
          <w:szCs w:val="19"/>
        </w:rPr>
        <w:t>Duration - 10 years</w:t>
      </w:r>
    </w:p>
    <w:tbl>
      <w:tblPr>
        <w:tblStyle w:val="TableGrid"/>
        <w:tblW w:w="0" w:type="auto"/>
        <w:tblLook w:val="04A0" w:firstRow="1" w:lastRow="0" w:firstColumn="1" w:lastColumn="0" w:noHBand="0" w:noVBand="1"/>
      </w:tblPr>
      <w:tblGrid>
        <w:gridCol w:w="6931"/>
        <w:gridCol w:w="6804"/>
        <w:gridCol w:w="6804"/>
      </w:tblGrid>
      <w:tr w:rsidR="003C64E1" w:rsidRPr="00B24346" w14:paraId="7B7E5BD6" w14:textId="77777777" w:rsidTr="003B2291">
        <w:tc>
          <w:tcPr>
            <w:tcW w:w="6931" w:type="dxa"/>
            <w:tcBorders>
              <w:top w:val="single" w:sz="12" w:space="0" w:color="auto"/>
              <w:left w:val="single" w:sz="12" w:space="0" w:color="auto"/>
              <w:bottom w:val="single" w:sz="12" w:space="0" w:color="auto"/>
            </w:tcBorders>
            <w:shd w:val="clear" w:color="auto" w:fill="FFFFFF" w:themeFill="background1"/>
          </w:tcPr>
          <w:p w14:paraId="216DE5CE" w14:textId="77777777" w:rsidR="003C64E1" w:rsidRPr="00B24346" w:rsidRDefault="003C64E1" w:rsidP="003B2291">
            <w:pPr>
              <w:rPr>
                <w:rFonts w:ascii="Verdana" w:hAnsi="Verdana"/>
                <w:b/>
                <w:bCs/>
                <w:sz w:val="19"/>
                <w:szCs w:val="19"/>
              </w:rPr>
            </w:pPr>
            <w:r w:rsidRPr="00B24346">
              <w:rPr>
                <w:rFonts w:ascii="Verdana" w:hAnsi="Verdana"/>
                <w:b/>
                <w:bCs/>
                <w:sz w:val="19"/>
                <w:szCs w:val="19"/>
              </w:rPr>
              <w:t>Column 1: Applicant’s Proposed Conditions – Section 55 Response</w:t>
            </w:r>
          </w:p>
        </w:tc>
        <w:tc>
          <w:tcPr>
            <w:tcW w:w="6804" w:type="dxa"/>
            <w:tcBorders>
              <w:top w:val="single" w:sz="12" w:space="0" w:color="auto"/>
              <w:bottom w:val="single" w:sz="12" w:space="0" w:color="auto"/>
              <w:right w:val="single" w:sz="12" w:space="0" w:color="auto"/>
            </w:tcBorders>
            <w:shd w:val="clear" w:color="auto" w:fill="FFFFFF" w:themeFill="background1"/>
          </w:tcPr>
          <w:p w14:paraId="1015DC91" w14:textId="77777777" w:rsidR="003C64E1" w:rsidRPr="00B24346" w:rsidRDefault="003C64E1" w:rsidP="003B2291">
            <w:pPr>
              <w:rPr>
                <w:rFonts w:ascii="Verdana" w:hAnsi="Verdana"/>
                <w:b/>
                <w:bCs/>
                <w:sz w:val="19"/>
                <w:szCs w:val="19"/>
              </w:rPr>
            </w:pPr>
            <w:r w:rsidRPr="00B24346">
              <w:rPr>
                <w:rFonts w:ascii="Verdana" w:hAnsi="Verdana"/>
                <w:b/>
                <w:bCs/>
                <w:sz w:val="19"/>
                <w:szCs w:val="19"/>
              </w:rPr>
              <w:t>Column 2: Summary of Section 53 Comments and Response to Changes Requested</w:t>
            </w:r>
          </w:p>
        </w:tc>
        <w:tc>
          <w:tcPr>
            <w:tcW w:w="6804" w:type="dxa"/>
            <w:tcBorders>
              <w:top w:val="single" w:sz="12" w:space="0" w:color="auto"/>
              <w:bottom w:val="single" w:sz="12" w:space="0" w:color="auto"/>
              <w:right w:val="single" w:sz="12" w:space="0" w:color="auto"/>
            </w:tcBorders>
          </w:tcPr>
          <w:p w14:paraId="31BB5A27" w14:textId="77777777" w:rsidR="003C64E1" w:rsidRPr="00B24346" w:rsidRDefault="003C64E1" w:rsidP="003B2291">
            <w:pPr>
              <w:rPr>
                <w:rFonts w:ascii="Verdana" w:hAnsi="Verdana"/>
                <w:b/>
                <w:bCs/>
                <w:sz w:val="19"/>
                <w:szCs w:val="19"/>
              </w:rPr>
            </w:pPr>
            <w:r>
              <w:rPr>
                <w:rFonts w:ascii="Verdana" w:hAnsi="Verdana"/>
                <w:b/>
                <w:bCs/>
                <w:sz w:val="19"/>
                <w:szCs w:val="19"/>
              </w:rPr>
              <w:t>Column 3 – Panel Comments</w:t>
            </w:r>
          </w:p>
        </w:tc>
      </w:tr>
      <w:tr w:rsidR="003C64E1" w:rsidRPr="00B24346" w14:paraId="331835C9" w14:textId="77777777" w:rsidTr="003B2291">
        <w:tc>
          <w:tcPr>
            <w:tcW w:w="13735" w:type="dxa"/>
            <w:gridSpan w:val="2"/>
            <w:tcBorders>
              <w:left w:val="single" w:sz="12" w:space="0" w:color="auto"/>
              <w:bottom w:val="single" w:sz="12" w:space="0" w:color="auto"/>
              <w:right w:val="single" w:sz="12" w:space="0" w:color="auto"/>
            </w:tcBorders>
            <w:shd w:val="clear" w:color="auto" w:fill="FFFFFF" w:themeFill="background1"/>
          </w:tcPr>
          <w:p w14:paraId="3996207F" w14:textId="77777777" w:rsidR="003C64E1" w:rsidRPr="00B24346" w:rsidRDefault="003C64E1" w:rsidP="003B2291">
            <w:pPr>
              <w:rPr>
                <w:rFonts w:ascii="Verdana" w:hAnsi="Verdana"/>
                <w:i/>
                <w:iCs/>
                <w:sz w:val="19"/>
                <w:szCs w:val="19"/>
              </w:rPr>
            </w:pPr>
            <w:r w:rsidRPr="00B24346">
              <w:rPr>
                <w:rFonts w:ascii="Verdana" w:hAnsi="Verdana"/>
                <w:i/>
                <w:iCs/>
                <w:sz w:val="19"/>
                <w:szCs w:val="19"/>
              </w:rPr>
              <w:t>Note: Green cells indicate the condition wording is agreed between NTP and CRC with no changes from CRC’s Appendix 5 conditions.</w:t>
            </w:r>
          </w:p>
          <w:p w14:paraId="4F697670" w14:textId="77777777" w:rsidR="003C64E1" w:rsidRPr="00B24346" w:rsidRDefault="003C64E1" w:rsidP="003B2291">
            <w:pPr>
              <w:rPr>
                <w:rFonts w:ascii="Verdana" w:hAnsi="Verdana"/>
                <w:i/>
                <w:iCs/>
                <w:sz w:val="19"/>
                <w:szCs w:val="19"/>
              </w:rPr>
            </w:pPr>
          </w:p>
          <w:p w14:paraId="1BF17969" w14:textId="77777777" w:rsidR="003C64E1" w:rsidRPr="00B24346" w:rsidRDefault="003C64E1" w:rsidP="003B2291">
            <w:pPr>
              <w:rPr>
                <w:rFonts w:ascii="Verdana" w:hAnsi="Verdana"/>
                <w:i/>
                <w:iCs/>
                <w:sz w:val="19"/>
                <w:szCs w:val="19"/>
              </w:rPr>
            </w:pPr>
            <w:r w:rsidRPr="00B24346">
              <w:rPr>
                <w:rFonts w:ascii="Verdana" w:hAnsi="Verdana"/>
                <w:i/>
                <w:iCs/>
                <w:sz w:val="19"/>
                <w:szCs w:val="19"/>
              </w:rPr>
              <w:t>Note: Orange cells indicate the condition wording has been changed (red text) from CRC’s Appendix X set and explains why the changes have been made in response to s53 comments. The proposed changes have subsequently been agreed with CRC on 5 December 2025.</w:t>
            </w:r>
          </w:p>
          <w:p w14:paraId="19CB7901" w14:textId="77777777" w:rsidR="003C64E1" w:rsidRPr="00B24346" w:rsidRDefault="003C64E1" w:rsidP="003B2291">
            <w:pPr>
              <w:rPr>
                <w:rFonts w:ascii="Verdana" w:hAnsi="Verdana"/>
                <w:sz w:val="19"/>
                <w:szCs w:val="19"/>
              </w:rPr>
            </w:pPr>
          </w:p>
        </w:tc>
        <w:tc>
          <w:tcPr>
            <w:tcW w:w="6804" w:type="dxa"/>
            <w:tcBorders>
              <w:top w:val="single" w:sz="12" w:space="0" w:color="auto"/>
              <w:bottom w:val="single" w:sz="12" w:space="0" w:color="auto"/>
              <w:right w:val="single" w:sz="12" w:space="0" w:color="auto"/>
            </w:tcBorders>
          </w:tcPr>
          <w:p w14:paraId="2DEDD642" w14:textId="77777777" w:rsidR="003C64E1" w:rsidRDefault="003C64E1" w:rsidP="003B2291">
            <w:pPr>
              <w:rPr>
                <w:rFonts w:ascii="Verdana" w:hAnsi="Verdana"/>
                <w:i/>
                <w:iCs/>
                <w:sz w:val="19"/>
                <w:szCs w:val="19"/>
              </w:rPr>
            </w:pPr>
            <w:r>
              <w:rPr>
                <w:rFonts w:ascii="Verdana" w:hAnsi="Verdana"/>
                <w:i/>
                <w:iCs/>
                <w:sz w:val="19"/>
                <w:szCs w:val="19"/>
              </w:rPr>
              <w:t>Comments made in black text.</w:t>
            </w:r>
          </w:p>
          <w:p w14:paraId="184172FA" w14:textId="77777777" w:rsidR="003C64E1" w:rsidRDefault="003C64E1" w:rsidP="003B2291">
            <w:pPr>
              <w:rPr>
                <w:rFonts w:ascii="Verdana" w:hAnsi="Verdana"/>
                <w:i/>
                <w:iCs/>
                <w:sz w:val="19"/>
                <w:szCs w:val="19"/>
              </w:rPr>
            </w:pPr>
          </w:p>
          <w:p w14:paraId="21E4A1DC" w14:textId="77777777" w:rsidR="003C64E1" w:rsidRDefault="003C64E1" w:rsidP="003B2291">
            <w:pPr>
              <w:rPr>
                <w:rFonts w:ascii="Verdana" w:hAnsi="Verdana"/>
                <w:i/>
                <w:iCs/>
                <w:color w:val="0070C0"/>
                <w:sz w:val="19"/>
                <w:szCs w:val="19"/>
              </w:rPr>
            </w:pPr>
            <w:r>
              <w:rPr>
                <w:rFonts w:ascii="Verdana" w:hAnsi="Verdana"/>
                <w:i/>
                <w:iCs/>
                <w:sz w:val="19"/>
                <w:szCs w:val="19"/>
              </w:rPr>
              <w:t xml:space="preserve">Suggested tracked changes shown in text in column 1 in </w:t>
            </w:r>
            <w:r w:rsidRPr="006E4707">
              <w:rPr>
                <w:rFonts w:ascii="Verdana" w:hAnsi="Verdana"/>
                <w:i/>
                <w:iCs/>
                <w:color w:val="0070C0"/>
                <w:sz w:val="19"/>
                <w:szCs w:val="19"/>
              </w:rPr>
              <w:t xml:space="preserve">blue text </w:t>
            </w:r>
            <w:r w:rsidRPr="00E26BA9">
              <w:rPr>
                <w:rFonts w:ascii="Verdana" w:hAnsi="Verdana"/>
                <w:i/>
                <w:iCs/>
                <w:sz w:val="19"/>
                <w:szCs w:val="19"/>
              </w:rPr>
              <w:t xml:space="preserve">with new text </w:t>
            </w:r>
            <w:r w:rsidRPr="006E4707">
              <w:rPr>
                <w:rFonts w:ascii="Verdana" w:hAnsi="Verdana"/>
                <w:i/>
                <w:iCs/>
                <w:color w:val="0070C0"/>
                <w:sz w:val="19"/>
                <w:szCs w:val="19"/>
                <w:u w:val="single"/>
              </w:rPr>
              <w:t>underlined</w:t>
            </w:r>
            <w:r w:rsidRPr="006E4707">
              <w:rPr>
                <w:rFonts w:ascii="Verdana" w:hAnsi="Verdana"/>
                <w:i/>
                <w:iCs/>
                <w:color w:val="0070C0"/>
                <w:sz w:val="19"/>
                <w:szCs w:val="19"/>
              </w:rPr>
              <w:t xml:space="preserve"> </w:t>
            </w:r>
            <w:r>
              <w:rPr>
                <w:rFonts w:ascii="Verdana" w:hAnsi="Verdana"/>
                <w:i/>
                <w:iCs/>
                <w:color w:val="0070C0"/>
                <w:sz w:val="19"/>
                <w:szCs w:val="19"/>
              </w:rPr>
              <w:t xml:space="preserve">and removed text </w:t>
            </w:r>
            <w:r w:rsidRPr="00E26BA9">
              <w:rPr>
                <w:rFonts w:ascii="Verdana" w:hAnsi="Verdana"/>
                <w:i/>
                <w:iCs/>
                <w:strike/>
                <w:color w:val="0070C0"/>
                <w:sz w:val="19"/>
                <w:szCs w:val="19"/>
              </w:rPr>
              <w:t>struck through</w:t>
            </w:r>
            <w:r>
              <w:rPr>
                <w:rFonts w:ascii="Verdana" w:hAnsi="Verdana"/>
                <w:i/>
                <w:iCs/>
                <w:color w:val="0070C0"/>
                <w:sz w:val="19"/>
                <w:szCs w:val="19"/>
              </w:rPr>
              <w:t xml:space="preserve">. </w:t>
            </w:r>
          </w:p>
          <w:p w14:paraId="5B2241DF" w14:textId="77777777" w:rsidR="003C64E1" w:rsidRDefault="003C64E1" w:rsidP="003B2291">
            <w:pPr>
              <w:rPr>
                <w:rFonts w:ascii="Verdana" w:hAnsi="Verdana"/>
                <w:i/>
                <w:iCs/>
                <w:color w:val="0070C0"/>
                <w:sz w:val="19"/>
                <w:szCs w:val="19"/>
              </w:rPr>
            </w:pPr>
          </w:p>
          <w:p w14:paraId="4C45F6C1" w14:textId="77777777" w:rsidR="003C64E1" w:rsidRPr="006E4707" w:rsidRDefault="003C64E1" w:rsidP="003B2291">
            <w:pPr>
              <w:rPr>
                <w:rFonts w:ascii="Verdana" w:hAnsi="Verdana"/>
                <w:i/>
                <w:iCs/>
                <w:sz w:val="19"/>
                <w:szCs w:val="19"/>
              </w:rPr>
            </w:pPr>
            <w:r w:rsidRPr="00E26BA9">
              <w:rPr>
                <w:rFonts w:ascii="Verdana" w:hAnsi="Verdana"/>
                <w:i/>
                <w:iCs/>
                <w:sz w:val="19"/>
                <w:szCs w:val="19"/>
              </w:rPr>
              <w:t>New conditions are shown in new blue</w:t>
            </w:r>
            <w:r w:rsidRPr="00E26BA9">
              <w:rPr>
                <w:rFonts w:ascii="Verdana" w:hAnsi="Verdana"/>
                <w:i/>
                <w:iCs/>
                <w:color w:val="0070C0"/>
                <w:sz w:val="19"/>
                <w:szCs w:val="19"/>
                <w:u w:val="single"/>
              </w:rPr>
              <w:t xml:space="preserve"> underlined text</w:t>
            </w:r>
            <w:r>
              <w:rPr>
                <w:rFonts w:ascii="Verdana" w:hAnsi="Verdana"/>
                <w:i/>
                <w:iCs/>
                <w:color w:val="0070C0"/>
                <w:sz w:val="19"/>
                <w:szCs w:val="19"/>
              </w:rPr>
              <w:t xml:space="preserve"> </w:t>
            </w:r>
            <w:r w:rsidRPr="00E26BA9">
              <w:rPr>
                <w:rFonts w:ascii="Verdana" w:hAnsi="Verdana"/>
                <w:i/>
                <w:iCs/>
                <w:sz w:val="19"/>
                <w:szCs w:val="19"/>
              </w:rPr>
              <w:t>in a new row in the column.</w:t>
            </w:r>
          </w:p>
        </w:tc>
      </w:tr>
    </w:tbl>
    <w:p w14:paraId="6A7B90C6" w14:textId="77777777" w:rsidR="003C64E1" w:rsidRPr="00BB77A9" w:rsidRDefault="003C64E1" w:rsidP="00237CE9">
      <w:pPr>
        <w:rPr>
          <w:rFonts w:ascii="Verdana" w:hAnsi="Verdana" w:cs="Arial"/>
          <w:b/>
          <w:bCs/>
          <w:sz w:val="19"/>
          <w:szCs w:val="19"/>
        </w:rPr>
      </w:pPr>
    </w:p>
    <w:tbl>
      <w:tblPr>
        <w:tblStyle w:val="TableGrid"/>
        <w:tblW w:w="20549" w:type="dxa"/>
        <w:tblLook w:val="04A0" w:firstRow="1" w:lastRow="0" w:firstColumn="1" w:lastColumn="0" w:noHBand="0" w:noVBand="1"/>
      </w:tblPr>
      <w:tblGrid>
        <w:gridCol w:w="988"/>
        <w:gridCol w:w="5953"/>
        <w:gridCol w:w="6804"/>
        <w:gridCol w:w="6804"/>
      </w:tblGrid>
      <w:tr w:rsidR="00237CE9" w:rsidRPr="00DA1639" w14:paraId="731ABDBA" w14:textId="77777777" w:rsidTr="00895C44">
        <w:tc>
          <w:tcPr>
            <w:tcW w:w="13745" w:type="dxa"/>
            <w:gridSpan w:val="3"/>
            <w:shd w:val="clear" w:color="auto" w:fill="D9D9D9" w:themeFill="background1" w:themeFillShade="D9"/>
          </w:tcPr>
          <w:p w14:paraId="1F836143" w14:textId="5D50C270" w:rsidR="00237CE9" w:rsidRPr="00DA1639" w:rsidRDefault="00237CE9" w:rsidP="00895C44">
            <w:pPr>
              <w:pStyle w:val="NormalWeb"/>
              <w:spacing w:before="120" w:beforeAutospacing="0" w:after="120" w:afterAutospacing="0"/>
              <w:rPr>
                <w:rFonts w:ascii="Verdana" w:hAnsi="Verdana" w:cs="Arial"/>
                <w:b/>
                <w:bCs/>
                <w:sz w:val="19"/>
                <w:szCs w:val="19"/>
              </w:rPr>
            </w:pPr>
            <w:r w:rsidRPr="00DA1639">
              <w:rPr>
                <w:rFonts w:ascii="Verdana" w:hAnsi="Verdana" w:cs="Arial"/>
                <w:b/>
                <w:bCs/>
                <w:sz w:val="19"/>
                <w:szCs w:val="19"/>
              </w:rPr>
              <w:t xml:space="preserve">Wildlife Permit - Authorised Activity </w:t>
            </w:r>
          </w:p>
        </w:tc>
        <w:tc>
          <w:tcPr>
            <w:tcW w:w="6804" w:type="dxa"/>
          </w:tcPr>
          <w:p w14:paraId="0E371B30" w14:textId="77777777" w:rsidR="00237CE9" w:rsidRPr="00DA1639" w:rsidRDefault="00237CE9" w:rsidP="00895C44">
            <w:pPr>
              <w:pStyle w:val="NormalWeb"/>
              <w:spacing w:before="120" w:beforeAutospacing="0" w:after="120" w:afterAutospacing="0"/>
              <w:rPr>
                <w:rFonts w:ascii="Verdana" w:hAnsi="Verdana" w:cs="Arial"/>
                <w:b/>
                <w:bCs/>
                <w:sz w:val="19"/>
                <w:szCs w:val="19"/>
              </w:rPr>
            </w:pPr>
          </w:p>
        </w:tc>
      </w:tr>
      <w:tr w:rsidR="00237CE9" w:rsidRPr="00DA1639" w14:paraId="4BE0E995" w14:textId="77777777" w:rsidTr="00895C44">
        <w:tc>
          <w:tcPr>
            <w:tcW w:w="988" w:type="dxa"/>
          </w:tcPr>
          <w:p w14:paraId="63ED78BC"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283DC15B" w14:textId="47029536"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All works relating to lizard fauna, including capture</w:t>
            </w:r>
            <w:r w:rsidR="00FF5493">
              <w:rPr>
                <w:rFonts w:ascii="Verdana" w:hAnsi="Verdana" w:cs="Arial"/>
                <w:color w:val="0070C0"/>
                <w:sz w:val="19"/>
                <w:szCs w:val="19"/>
                <w:u w:val="single"/>
              </w:rPr>
              <w:t>, handling, marking</w:t>
            </w:r>
            <w:r w:rsidRPr="00DA1639">
              <w:rPr>
                <w:rFonts w:ascii="Verdana" w:hAnsi="Verdana" w:cs="Arial"/>
                <w:sz w:val="19"/>
                <w:szCs w:val="19"/>
              </w:rPr>
              <w:t xml:space="preserve"> and relocation must occur in accordance with the Lizard Management Plan prepared by Wildlands dated August 2025</w:t>
            </w:r>
            <w:r w:rsidR="002866F1">
              <w:rPr>
                <w:rFonts w:ascii="Verdana" w:hAnsi="Verdana" w:cs="Arial"/>
                <w:color w:val="00609B"/>
                <w:sz w:val="19"/>
                <w:szCs w:val="19"/>
                <w:u w:val="single"/>
              </w:rPr>
              <w:t xml:space="preserve"> </w:t>
            </w:r>
            <w:r w:rsidR="004E3675">
              <w:rPr>
                <w:rFonts w:ascii="Verdana" w:hAnsi="Verdana" w:cs="Arial"/>
                <w:color w:val="00609B"/>
                <w:sz w:val="19"/>
                <w:szCs w:val="19"/>
                <w:u w:val="single"/>
              </w:rPr>
              <w:t xml:space="preserve">and </w:t>
            </w:r>
            <w:r w:rsidR="002866F1">
              <w:rPr>
                <w:rFonts w:ascii="Verdana" w:hAnsi="Verdana" w:cs="Arial"/>
                <w:color w:val="00609B"/>
                <w:sz w:val="19"/>
                <w:szCs w:val="19"/>
                <w:u w:val="single"/>
              </w:rPr>
              <w:t>submitted in support o</w:t>
            </w:r>
            <w:r w:rsidR="003B7A67">
              <w:rPr>
                <w:rFonts w:ascii="Verdana" w:hAnsi="Verdana" w:cs="Arial"/>
                <w:color w:val="00609B"/>
                <w:sz w:val="19"/>
                <w:szCs w:val="19"/>
                <w:u w:val="single"/>
              </w:rPr>
              <w:t>f</w:t>
            </w:r>
            <w:r w:rsidR="002866F1">
              <w:rPr>
                <w:rFonts w:ascii="Verdana" w:hAnsi="Verdana" w:cs="Arial"/>
                <w:color w:val="00609B"/>
                <w:sz w:val="19"/>
                <w:szCs w:val="19"/>
                <w:u w:val="single"/>
              </w:rPr>
              <w:t xml:space="preserve"> the application</w:t>
            </w:r>
            <w:r w:rsidRPr="00DA1639">
              <w:rPr>
                <w:rFonts w:ascii="Verdana" w:hAnsi="Verdana" w:cs="Arial"/>
                <w:sz w:val="19"/>
                <w:szCs w:val="19"/>
              </w:rPr>
              <w:t xml:space="preserve">. </w:t>
            </w:r>
          </w:p>
        </w:tc>
        <w:tc>
          <w:tcPr>
            <w:tcW w:w="6804" w:type="dxa"/>
            <w:shd w:val="clear" w:color="auto" w:fill="D9F2D0" w:themeFill="accent6" w:themeFillTint="33"/>
          </w:tcPr>
          <w:p w14:paraId="642F799A"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 xml:space="preserve">Condition updated to reflect DOC’s Appendix A attached to the S51 Report. </w:t>
            </w:r>
          </w:p>
        </w:tc>
        <w:tc>
          <w:tcPr>
            <w:tcW w:w="6804" w:type="dxa"/>
          </w:tcPr>
          <w:p w14:paraId="0C58F5F8" w14:textId="77777777" w:rsidR="00237CE9" w:rsidRPr="00DA1639" w:rsidRDefault="00237CE9" w:rsidP="00895C44">
            <w:pPr>
              <w:spacing w:before="120" w:after="120"/>
              <w:rPr>
                <w:rFonts w:ascii="Verdana" w:hAnsi="Verdana" w:cs="Arial"/>
                <w:sz w:val="19"/>
                <w:szCs w:val="19"/>
              </w:rPr>
            </w:pPr>
          </w:p>
        </w:tc>
      </w:tr>
      <w:tr w:rsidR="00237CE9" w:rsidRPr="00DA1639" w14:paraId="2BF1A56B" w14:textId="77777777" w:rsidTr="00895C44">
        <w:tc>
          <w:tcPr>
            <w:tcW w:w="988" w:type="dxa"/>
          </w:tcPr>
          <w:p w14:paraId="0E6DE5B4"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2911E570" w14:textId="77777777" w:rsidR="00237CE9" w:rsidRPr="00DA1639" w:rsidRDefault="00237CE9" w:rsidP="00895C44">
            <w:pPr>
              <w:pStyle w:val="NormalWeb"/>
              <w:spacing w:before="120" w:beforeAutospacing="0" w:after="120" w:afterAutospacing="0"/>
              <w:rPr>
                <w:rFonts w:ascii="Verdana" w:hAnsi="Verdana" w:cs="Arial"/>
                <w:sz w:val="19"/>
                <w:szCs w:val="19"/>
              </w:rPr>
            </w:pPr>
            <w:r w:rsidRPr="00DA1639">
              <w:rPr>
                <w:rFonts w:ascii="Verdana" w:hAnsi="Verdana" w:cs="Arial"/>
                <w:sz w:val="19"/>
                <w:szCs w:val="19"/>
              </w:rPr>
              <w:t xml:space="preserve">The wildlife approval is for the capture, handling, and release of southern grass skinks (Oligosoma aff. polychroma ‘Clade 5’) and McCann’s skinks (Oligosoma maccanni), provided that best efforts are taken to avoid incidental deaths in accordance with the Lizard Management Plan. </w:t>
            </w:r>
          </w:p>
        </w:tc>
        <w:tc>
          <w:tcPr>
            <w:tcW w:w="6804" w:type="dxa"/>
            <w:shd w:val="clear" w:color="auto" w:fill="D9F2D0" w:themeFill="accent6" w:themeFillTint="33"/>
          </w:tcPr>
          <w:p w14:paraId="2E9BB242"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Revised condition to reflect DOC’s Appendix A attached to the S51 Report.</w:t>
            </w:r>
          </w:p>
        </w:tc>
        <w:tc>
          <w:tcPr>
            <w:tcW w:w="6804" w:type="dxa"/>
          </w:tcPr>
          <w:p w14:paraId="26126D23" w14:textId="77777777" w:rsidR="00237CE9" w:rsidRPr="00DA1639" w:rsidRDefault="00237CE9" w:rsidP="00895C44">
            <w:pPr>
              <w:spacing w:before="120" w:after="120"/>
              <w:rPr>
                <w:rFonts w:ascii="Verdana" w:hAnsi="Verdana" w:cs="Arial"/>
                <w:sz w:val="19"/>
                <w:szCs w:val="19"/>
              </w:rPr>
            </w:pPr>
          </w:p>
        </w:tc>
      </w:tr>
      <w:tr w:rsidR="00237CE9" w:rsidRPr="00DA1639" w14:paraId="6495B0A9" w14:textId="77777777" w:rsidTr="00895C44">
        <w:tc>
          <w:tcPr>
            <w:tcW w:w="988" w:type="dxa"/>
          </w:tcPr>
          <w:p w14:paraId="7063BB35"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3D11C914"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The incidental killing of southern grass skinks (Oligosoma aff. polychroma ‘Clade 5’) and McCann’s skinks (Oligosoma maccanni) is authorised, provided that best efforts are taken to avoid incidental deaths in accordance with the Lizard Management Plan.</w:t>
            </w:r>
          </w:p>
        </w:tc>
        <w:tc>
          <w:tcPr>
            <w:tcW w:w="6804" w:type="dxa"/>
            <w:shd w:val="clear" w:color="auto" w:fill="D9F2D0" w:themeFill="accent6" w:themeFillTint="33"/>
          </w:tcPr>
          <w:p w14:paraId="6E5BE299"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New condition to reflect DOC’s Appendix A attached to the S51 Report.</w:t>
            </w:r>
          </w:p>
        </w:tc>
        <w:tc>
          <w:tcPr>
            <w:tcW w:w="6804" w:type="dxa"/>
          </w:tcPr>
          <w:p w14:paraId="5610FBB8" w14:textId="77777777" w:rsidR="00237CE9" w:rsidRPr="00DA1639" w:rsidRDefault="00237CE9" w:rsidP="00895C44">
            <w:pPr>
              <w:spacing w:before="120" w:after="120"/>
              <w:rPr>
                <w:rFonts w:ascii="Verdana" w:hAnsi="Verdana" w:cs="Arial"/>
                <w:sz w:val="19"/>
                <w:szCs w:val="19"/>
              </w:rPr>
            </w:pPr>
          </w:p>
        </w:tc>
      </w:tr>
      <w:tr w:rsidR="00237CE9" w:rsidRPr="00DA1639" w14:paraId="49FCC7D2" w14:textId="77777777" w:rsidTr="00895C44">
        <w:tc>
          <w:tcPr>
            <w:tcW w:w="988" w:type="dxa"/>
          </w:tcPr>
          <w:p w14:paraId="5DA73609"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72D0CDA9"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 xml:space="preserve">This wildlife approval is valid for </w:t>
            </w:r>
            <w:r w:rsidRPr="00BF6E56">
              <w:rPr>
                <w:rFonts w:ascii="Verdana" w:hAnsi="Verdana" w:cs="Arial"/>
                <w:strike/>
                <w:color w:val="0070C0"/>
                <w:sz w:val="19"/>
                <w:szCs w:val="19"/>
              </w:rPr>
              <w:t xml:space="preserve">7 </w:t>
            </w:r>
            <w:r w:rsidRPr="00BF6E56">
              <w:rPr>
                <w:rFonts w:ascii="Verdana" w:hAnsi="Verdana" w:cs="Arial"/>
                <w:color w:val="0070C0"/>
                <w:sz w:val="19"/>
                <w:szCs w:val="19"/>
                <w:u w:val="single"/>
              </w:rPr>
              <w:t xml:space="preserve">10 </w:t>
            </w:r>
            <w:r w:rsidRPr="00DA1639">
              <w:rPr>
                <w:rFonts w:ascii="Verdana" w:hAnsi="Verdana" w:cs="Arial"/>
                <w:sz w:val="19"/>
                <w:szCs w:val="19"/>
              </w:rPr>
              <w:t>years from the date of approval.</w:t>
            </w:r>
          </w:p>
        </w:tc>
        <w:tc>
          <w:tcPr>
            <w:tcW w:w="6804" w:type="dxa"/>
            <w:shd w:val="clear" w:color="auto" w:fill="D9F2D0" w:themeFill="accent6" w:themeFillTint="33"/>
          </w:tcPr>
          <w:p w14:paraId="4F6EB6CB"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New condition to reflect DOC’s Appendix A attached to the S51 Report.</w:t>
            </w:r>
          </w:p>
        </w:tc>
        <w:tc>
          <w:tcPr>
            <w:tcW w:w="6804" w:type="dxa"/>
          </w:tcPr>
          <w:p w14:paraId="656760E3" w14:textId="39A6ED0F" w:rsidR="00237CE9" w:rsidRPr="00DA1639" w:rsidRDefault="00237CE9" w:rsidP="00895C44">
            <w:pPr>
              <w:spacing w:before="120" w:after="120"/>
              <w:rPr>
                <w:rFonts w:ascii="Verdana" w:hAnsi="Verdana" w:cs="Arial"/>
                <w:sz w:val="19"/>
                <w:szCs w:val="19"/>
              </w:rPr>
            </w:pPr>
          </w:p>
        </w:tc>
      </w:tr>
      <w:tr w:rsidR="00237CE9" w:rsidRPr="00DA1639" w14:paraId="61EFACE0" w14:textId="77777777" w:rsidTr="00895C44">
        <w:tc>
          <w:tcPr>
            <w:tcW w:w="13745" w:type="dxa"/>
            <w:gridSpan w:val="3"/>
            <w:shd w:val="clear" w:color="auto" w:fill="D1D1D1" w:themeFill="background2" w:themeFillShade="E6"/>
          </w:tcPr>
          <w:p w14:paraId="018A9796" w14:textId="77777777" w:rsidR="00237CE9" w:rsidRPr="00DA1639" w:rsidRDefault="00237CE9" w:rsidP="00895C44">
            <w:pPr>
              <w:spacing w:before="120" w:after="120"/>
              <w:rPr>
                <w:rFonts w:ascii="Verdana" w:hAnsi="Verdana" w:cs="Arial"/>
                <w:b/>
                <w:bCs/>
                <w:sz w:val="19"/>
                <w:szCs w:val="19"/>
              </w:rPr>
            </w:pPr>
            <w:r w:rsidRPr="00DA1639">
              <w:rPr>
                <w:rFonts w:ascii="Verdana" w:hAnsi="Verdana" w:cs="Arial"/>
                <w:b/>
                <w:bCs/>
                <w:sz w:val="19"/>
                <w:szCs w:val="19"/>
              </w:rPr>
              <w:t xml:space="preserve">Wildlife Permit - Lizard Capture and Handling </w:t>
            </w:r>
          </w:p>
        </w:tc>
        <w:tc>
          <w:tcPr>
            <w:tcW w:w="6804" w:type="dxa"/>
          </w:tcPr>
          <w:p w14:paraId="3CE6163B" w14:textId="77777777" w:rsidR="00237CE9" w:rsidRPr="00DA1639" w:rsidRDefault="00237CE9" w:rsidP="00895C44">
            <w:pPr>
              <w:spacing w:before="120" w:after="120"/>
              <w:rPr>
                <w:rFonts w:ascii="Verdana" w:hAnsi="Verdana" w:cs="Arial"/>
                <w:b/>
                <w:bCs/>
                <w:sz w:val="19"/>
                <w:szCs w:val="19"/>
              </w:rPr>
            </w:pPr>
          </w:p>
        </w:tc>
      </w:tr>
      <w:tr w:rsidR="00237CE9" w:rsidRPr="00DA1639" w14:paraId="3487FDD3" w14:textId="77777777" w:rsidTr="00895C44">
        <w:tc>
          <w:tcPr>
            <w:tcW w:w="988" w:type="dxa"/>
          </w:tcPr>
          <w:p w14:paraId="42C7F1B4"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0B90688D"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 xml:space="preserve">Lizards must only be handled by those people named in the Lizard Management Plan, or by others under the direct supervision of Samantha King, Cameron Thorp or Jade Christiansen. Lizards may only be handled by Anna Meban only under the direct supervision of Samantha King, Cameron Thorp or Jade Christiansen.  </w:t>
            </w:r>
          </w:p>
        </w:tc>
        <w:tc>
          <w:tcPr>
            <w:tcW w:w="6804" w:type="dxa"/>
            <w:shd w:val="clear" w:color="auto" w:fill="FAE2D5" w:themeFill="accent2" w:themeFillTint="33"/>
          </w:tcPr>
          <w:p w14:paraId="3E079AC0"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Updated condition wording to reflect the response from Wildlands.</w:t>
            </w:r>
          </w:p>
          <w:p w14:paraId="44C89410" w14:textId="77777777" w:rsidR="00237CE9" w:rsidRPr="00DA1639" w:rsidRDefault="00237CE9" w:rsidP="00895C44">
            <w:pPr>
              <w:spacing w:before="120" w:after="120"/>
              <w:rPr>
                <w:rFonts w:ascii="Verdana" w:hAnsi="Verdana" w:cs="Arial"/>
                <w:sz w:val="19"/>
                <w:szCs w:val="19"/>
              </w:rPr>
            </w:pPr>
          </w:p>
        </w:tc>
        <w:tc>
          <w:tcPr>
            <w:tcW w:w="6804" w:type="dxa"/>
          </w:tcPr>
          <w:p w14:paraId="5DE4FB42" w14:textId="5C5FDD49" w:rsidR="00237CE9" w:rsidRPr="00DA1639" w:rsidRDefault="00624986" w:rsidP="00895C44">
            <w:pPr>
              <w:spacing w:before="120" w:after="120"/>
              <w:rPr>
                <w:rFonts w:ascii="Verdana" w:hAnsi="Verdana" w:cs="Arial"/>
                <w:sz w:val="19"/>
                <w:szCs w:val="19"/>
              </w:rPr>
            </w:pPr>
            <w:r>
              <w:rPr>
                <w:rFonts w:ascii="Verdana" w:hAnsi="Verdana" w:cs="Arial"/>
                <w:sz w:val="19"/>
                <w:szCs w:val="19"/>
              </w:rPr>
              <w:t xml:space="preserve">We consider this </w:t>
            </w:r>
            <w:r w:rsidR="00932ED6">
              <w:rPr>
                <w:rFonts w:ascii="Verdana" w:hAnsi="Verdana" w:cs="Arial"/>
                <w:sz w:val="19"/>
                <w:szCs w:val="19"/>
              </w:rPr>
              <w:t xml:space="preserve">condition becomes problematic if these people change jobs or leave New Zealand. Please revise condition to refer to </w:t>
            </w:r>
            <w:r w:rsidR="007B460C">
              <w:rPr>
                <w:rFonts w:ascii="Verdana" w:hAnsi="Verdana" w:cs="Arial"/>
                <w:sz w:val="19"/>
                <w:szCs w:val="19"/>
              </w:rPr>
              <w:t xml:space="preserve">the appropriate </w:t>
            </w:r>
            <w:r w:rsidR="005A74F4">
              <w:rPr>
                <w:rFonts w:ascii="Verdana" w:hAnsi="Verdana" w:cs="Arial"/>
                <w:sz w:val="19"/>
                <w:szCs w:val="19"/>
              </w:rPr>
              <w:t xml:space="preserve">position </w:t>
            </w:r>
            <w:r w:rsidR="00B006AC">
              <w:rPr>
                <w:rFonts w:ascii="Verdana" w:hAnsi="Verdana" w:cs="Arial"/>
                <w:sz w:val="19"/>
                <w:szCs w:val="19"/>
              </w:rPr>
              <w:t>title</w:t>
            </w:r>
            <w:r w:rsidR="005A74F4">
              <w:rPr>
                <w:rFonts w:ascii="Verdana" w:hAnsi="Verdana" w:cs="Arial"/>
                <w:sz w:val="19"/>
                <w:szCs w:val="19"/>
              </w:rPr>
              <w:t>, rather than</w:t>
            </w:r>
            <w:r w:rsidR="008B57ED">
              <w:rPr>
                <w:rFonts w:ascii="Verdana" w:hAnsi="Verdana" w:cs="Arial"/>
                <w:sz w:val="19"/>
                <w:szCs w:val="19"/>
              </w:rPr>
              <w:t xml:space="preserve"> individual persons.</w:t>
            </w:r>
          </w:p>
        </w:tc>
      </w:tr>
      <w:tr w:rsidR="00237CE9" w:rsidRPr="00DA1639" w14:paraId="0AD9E234" w14:textId="77777777" w:rsidTr="00895C44">
        <w:tc>
          <w:tcPr>
            <w:tcW w:w="988" w:type="dxa"/>
          </w:tcPr>
          <w:p w14:paraId="6021623D"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7BC2AF26"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Lizard capture, handling and relocation must only be undertaken between 1 October and 30 April when lizards are most active.</w:t>
            </w:r>
          </w:p>
        </w:tc>
        <w:tc>
          <w:tcPr>
            <w:tcW w:w="6804" w:type="dxa"/>
            <w:shd w:val="clear" w:color="auto" w:fill="D9F2D0" w:themeFill="accent6" w:themeFillTint="33"/>
          </w:tcPr>
          <w:p w14:paraId="76C641B5"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New condition to reflect DOC’s Appendix A attached to the S51 Report.</w:t>
            </w:r>
          </w:p>
        </w:tc>
        <w:tc>
          <w:tcPr>
            <w:tcW w:w="6804" w:type="dxa"/>
          </w:tcPr>
          <w:p w14:paraId="2ED3B52A" w14:textId="77777777" w:rsidR="00237CE9" w:rsidRPr="00DA1639" w:rsidRDefault="00237CE9" w:rsidP="00895C44">
            <w:pPr>
              <w:spacing w:before="120" w:after="120"/>
              <w:rPr>
                <w:rFonts w:ascii="Verdana" w:hAnsi="Verdana" w:cs="Arial"/>
                <w:sz w:val="19"/>
                <w:szCs w:val="19"/>
              </w:rPr>
            </w:pPr>
          </w:p>
        </w:tc>
      </w:tr>
      <w:tr w:rsidR="00237CE9" w:rsidRPr="00DA1639" w14:paraId="7748BF16" w14:textId="77777777" w:rsidTr="00895C44">
        <w:tc>
          <w:tcPr>
            <w:tcW w:w="988" w:type="dxa"/>
          </w:tcPr>
          <w:p w14:paraId="63C7A57A"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7D24292F"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 xml:space="preserve">Capture and handling of lizards must involve only techniques that minimise the risk of infection or injury to the animal and must follow those described in the Herpetofauna inventory and monitoring toolbox </w:t>
            </w:r>
            <w:hyperlink r:id="rId8" w:history="1">
              <w:r w:rsidRPr="00DA1639">
                <w:rPr>
                  <w:rStyle w:val="Hyperlink"/>
                  <w:rFonts w:ascii="Verdana" w:hAnsi="Verdana" w:cs="Arial"/>
                  <w:color w:val="auto"/>
                  <w:sz w:val="19"/>
                  <w:szCs w:val="19"/>
                </w:rPr>
                <w:t>http://www.doc.govt.nz/our-work/biodiversity-inventory-and-monitoring/herpetofauna/</w:t>
              </w:r>
            </w:hyperlink>
            <w:r w:rsidRPr="00DA1639">
              <w:rPr>
                <w:rFonts w:ascii="Verdana" w:hAnsi="Verdana" w:cs="Arial"/>
                <w:sz w:val="19"/>
                <w:szCs w:val="19"/>
              </w:rPr>
              <w:t>.</w:t>
            </w:r>
          </w:p>
        </w:tc>
        <w:tc>
          <w:tcPr>
            <w:tcW w:w="6804" w:type="dxa"/>
            <w:shd w:val="clear" w:color="auto" w:fill="D9F2D0" w:themeFill="accent6" w:themeFillTint="33"/>
          </w:tcPr>
          <w:p w14:paraId="6F4CF78B"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New condition to reflect DOC’s Appendix A attached to the S51 Report.</w:t>
            </w:r>
          </w:p>
        </w:tc>
        <w:tc>
          <w:tcPr>
            <w:tcW w:w="6804" w:type="dxa"/>
          </w:tcPr>
          <w:p w14:paraId="76C178EB" w14:textId="77777777" w:rsidR="00237CE9" w:rsidRPr="00DA1639" w:rsidRDefault="00237CE9" w:rsidP="00895C44">
            <w:pPr>
              <w:spacing w:before="120" w:after="120"/>
              <w:rPr>
                <w:rFonts w:ascii="Verdana" w:hAnsi="Verdana" w:cs="Arial"/>
                <w:sz w:val="19"/>
                <w:szCs w:val="19"/>
              </w:rPr>
            </w:pPr>
          </w:p>
        </w:tc>
      </w:tr>
      <w:tr w:rsidR="00237CE9" w:rsidRPr="00DA1639" w14:paraId="1FA17EA0" w14:textId="77777777" w:rsidTr="00895C44">
        <w:tc>
          <w:tcPr>
            <w:tcW w:w="13745" w:type="dxa"/>
            <w:gridSpan w:val="3"/>
            <w:shd w:val="clear" w:color="auto" w:fill="D1D1D1" w:themeFill="background2" w:themeFillShade="E6"/>
          </w:tcPr>
          <w:p w14:paraId="3CD7A89A" w14:textId="77777777" w:rsidR="00237CE9" w:rsidRPr="00DA1639" w:rsidRDefault="00237CE9" w:rsidP="00895C44">
            <w:pPr>
              <w:spacing w:before="120" w:after="120"/>
              <w:rPr>
                <w:rFonts w:ascii="Verdana" w:hAnsi="Verdana" w:cs="Arial"/>
                <w:b/>
                <w:bCs/>
                <w:sz w:val="19"/>
                <w:szCs w:val="19"/>
              </w:rPr>
            </w:pPr>
            <w:r w:rsidRPr="00DA1639">
              <w:rPr>
                <w:rFonts w:ascii="Verdana" w:hAnsi="Verdana" w:cs="Arial"/>
                <w:b/>
                <w:bCs/>
                <w:sz w:val="19"/>
                <w:szCs w:val="19"/>
              </w:rPr>
              <w:t>Incidental Discovery</w:t>
            </w:r>
          </w:p>
        </w:tc>
        <w:tc>
          <w:tcPr>
            <w:tcW w:w="6804" w:type="dxa"/>
          </w:tcPr>
          <w:p w14:paraId="386BEE4B" w14:textId="77777777" w:rsidR="00237CE9" w:rsidRPr="00DA1639" w:rsidRDefault="00237CE9" w:rsidP="00895C44">
            <w:pPr>
              <w:spacing w:before="120" w:after="120"/>
              <w:rPr>
                <w:rFonts w:ascii="Verdana" w:hAnsi="Verdana" w:cs="Arial"/>
                <w:b/>
                <w:bCs/>
                <w:sz w:val="19"/>
                <w:szCs w:val="19"/>
              </w:rPr>
            </w:pPr>
          </w:p>
        </w:tc>
      </w:tr>
      <w:tr w:rsidR="00237CE9" w:rsidRPr="00DA1639" w14:paraId="2F662960" w14:textId="77777777" w:rsidTr="00895C44">
        <w:tc>
          <w:tcPr>
            <w:tcW w:w="988" w:type="dxa"/>
          </w:tcPr>
          <w:p w14:paraId="11838FA1"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7F29BC3F"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The DOC Operations Manager for Mahaanui must be contacted immediately (</w:t>
            </w:r>
            <w:hyperlink r:id="rId9" w:history="1">
              <w:r w:rsidRPr="00DA1639">
                <w:rPr>
                  <w:rStyle w:val="Hyperlink"/>
                  <w:rFonts w:ascii="Verdana" w:hAnsi="Verdana" w:cs="Arial"/>
                  <w:color w:val="auto"/>
                  <w:sz w:val="19"/>
                  <w:szCs w:val="19"/>
                </w:rPr>
                <w:t>mahaanui@doc.govt.nz</w:t>
              </w:r>
            </w:hyperlink>
            <w:r w:rsidRPr="00DA1639">
              <w:rPr>
                <w:rFonts w:ascii="Verdana" w:hAnsi="Verdana" w:cs="Arial"/>
                <w:sz w:val="19"/>
                <w:szCs w:val="19"/>
              </w:rPr>
              <w:t>) for further advice if lizard species other than southern grass skinks are located within the footprint of the development or within the release site.</w:t>
            </w:r>
          </w:p>
        </w:tc>
        <w:tc>
          <w:tcPr>
            <w:tcW w:w="6804" w:type="dxa"/>
            <w:shd w:val="clear" w:color="auto" w:fill="D9F2D0" w:themeFill="accent6" w:themeFillTint="33"/>
          </w:tcPr>
          <w:p w14:paraId="7F27B5E4"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New condition to reflect DOC’s Appendix A attached to the S51 Report.</w:t>
            </w:r>
          </w:p>
        </w:tc>
        <w:tc>
          <w:tcPr>
            <w:tcW w:w="6804" w:type="dxa"/>
          </w:tcPr>
          <w:p w14:paraId="3179F985" w14:textId="77777777" w:rsidR="00237CE9" w:rsidRPr="00DA1639" w:rsidRDefault="00237CE9" w:rsidP="00895C44">
            <w:pPr>
              <w:spacing w:before="120" w:after="120"/>
              <w:rPr>
                <w:rFonts w:ascii="Verdana" w:hAnsi="Verdana" w:cs="Arial"/>
                <w:sz w:val="19"/>
                <w:szCs w:val="19"/>
              </w:rPr>
            </w:pPr>
          </w:p>
        </w:tc>
      </w:tr>
      <w:tr w:rsidR="00237CE9" w:rsidRPr="00DA1639" w14:paraId="0438F7EE" w14:textId="77777777" w:rsidTr="00895C44">
        <w:tc>
          <w:tcPr>
            <w:tcW w:w="13745" w:type="dxa"/>
            <w:gridSpan w:val="3"/>
            <w:shd w:val="clear" w:color="auto" w:fill="D1D1D1" w:themeFill="background2" w:themeFillShade="E6"/>
          </w:tcPr>
          <w:p w14:paraId="7D4E1B57" w14:textId="77777777" w:rsidR="00237CE9" w:rsidRPr="00DA1639" w:rsidRDefault="00237CE9" w:rsidP="00895C44">
            <w:pPr>
              <w:spacing w:before="120" w:after="120"/>
              <w:rPr>
                <w:rFonts w:ascii="Verdana" w:hAnsi="Verdana" w:cs="Arial"/>
                <w:b/>
                <w:bCs/>
                <w:sz w:val="19"/>
                <w:szCs w:val="19"/>
              </w:rPr>
            </w:pPr>
            <w:r w:rsidRPr="00DA1639">
              <w:rPr>
                <w:rFonts w:ascii="Verdana" w:hAnsi="Verdana" w:cs="Arial"/>
                <w:b/>
                <w:bCs/>
                <w:sz w:val="19"/>
                <w:szCs w:val="19"/>
              </w:rPr>
              <w:t xml:space="preserve">Wildlife Permit – Death of wildlife associated with salvage activities </w:t>
            </w:r>
          </w:p>
        </w:tc>
        <w:tc>
          <w:tcPr>
            <w:tcW w:w="6804" w:type="dxa"/>
          </w:tcPr>
          <w:p w14:paraId="387BE625" w14:textId="77777777" w:rsidR="00237CE9" w:rsidRPr="00DA1639" w:rsidRDefault="00237CE9" w:rsidP="00895C44">
            <w:pPr>
              <w:spacing w:before="120" w:after="120"/>
              <w:rPr>
                <w:rFonts w:ascii="Verdana" w:hAnsi="Verdana" w:cs="Arial"/>
                <w:b/>
                <w:bCs/>
                <w:sz w:val="19"/>
                <w:szCs w:val="19"/>
              </w:rPr>
            </w:pPr>
          </w:p>
        </w:tc>
      </w:tr>
      <w:tr w:rsidR="00237CE9" w:rsidRPr="00DA1639" w14:paraId="45CA1DB5" w14:textId="77777777" w:rsidTr="00895C44">
        <w:tc>
          <w:tcPr>
            <w:tcW w:w="988" w:type="dxa"/>
          </w:tcPr>
          <w:p w14:paraId="188C1AD0"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51ED5DA0"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If any lizards should die during the approved activities of catch, transfer or liberate, the Approval Holder must:</w:t>
            </w:r>
          </w:p>
          <w:p w14:paraId="1A2DA895" w14:textId="77777777" w:rsidR="00237CE9" w:rsidRPr="00DA1639" w:rsidRDefault="00237CE9" w:rsidP="00237CE9">
            <w:pPr>
              <w:pStyle w:val="ListParagraph"/>
              <w:numPr>
                <w:ilvl w:val="0"/>
                <w:numId w:val="1"/>
              </w:numPr>
              <w:spacing w:before="120" w:after="120"/>
              <w:rPr>
                <w:rFonts w:ascii="Verdana" w:hAnsi="Verdana" w:cs="Arial"/>
                <w:sz w:val="19"/>
                <w:szCs w:val="19"/>
              </w:rPr>
            </w:pPr>
            <w:r w:rsidRPr="00DA1639">
              <w:rPr>
                <w:rFonts w:ascii="Verdana" w:hAnsi="Verdana" w:cs="Arial"/>
                <w:sz w:val="19"/>
                <w:szCs w:val="19"/>
              </w:rPr>
              <w:t>inform the Mahaanui DOC Operations Manager (mahaanui@doc.govt.nz) within 48 hours, chill the body if it can be delivered within 72 hours, or freeze the body if delivery will take longer than 72 hours; and</w:t>
            </w:r>
          </w:p>
          <w:p w14:paraId="64A90D5B" w14:textId="77777777" w:rsidR="00237CE9" w:rsidRPr="00DA1639" w:rsidRDefault="00237CE9" w:rsidP="00895C44">
            <w:pPr>
              <w:pStyle w:val="ListParagraph"/>
              <w:spacing w:before="120" w:after="120"/>
              <w:ind w:left="360"/>
              <w:rPr>
                <w:rFonts w:ascii="Verdana" w:hAnsi="Verdana" w:cs="Arial"/>
                <w:sz w:val="19"/>
                <w:szCs w:val="19"/>
              </w:rPr>
            </w:pPr>
          </w:p>
          <w:p w14:paraId="447242DC" w14:textId="77777777" w:rsidR="00237CE9" w:rsidRPr="00DA1639" w:rsidRDefault="00237CE9" w:rsidP="00237CE9">
            <w:pPr>
              <w:pStyle w:val="ListParagraph"/>
              <w:numPr>
                <w:ilvl w:val="0"/>
                <w:numId w:val="1"/>
              </w:numPr>
              <w:spacing w:before="120" w:after="120"/>
              <w:rPr>
                <w:rFonts w:ascii="Verdana" w:hAnsi="Verdana" w:cs="Arial"/>
                <w:sz w:val="19"/>
                <w:szCs w:val="19"/>
              </w:rPr>
            </w:pPr>
            <w:r w:rsidRPr="00DA1639">
              <w:rPr>
                <w:rFonts w:ascii="Verdana" w:hAnsi="Verdana" w:cs="Arial"/>
                <w:sz w:val="19"/>
                <w:szCs w:val="19"/>
              </w:rPr>
              <w:t>send the body to Massey University Wildlife Post Mortem Service for necropsy OR as otherwise advised by the Mahaanui DOC Operations Manager, along with details of the animal’s history; and</w:t>
            </w:r>
          </w:p>
          <w:p w14:paraId="6E7BD3DA" w14:textId="77777777" w:rsidR="00237CE9" w:rsidRPr="00DA1639" w:rsidRDefault="00237CE9" w:rsidP="00895C44">
            <w:pPr>
              <w:pStyle w:val="ListParagraph"/>
              <w:rPr>
                <w:rFonts w:ascii="Verdana" w:hAnsi="Verdana" w:cs="Arial"/>
                <w:sz w:val="19"/>
                <w:szCs w:val="19"/>
              </w:rPr>
            </w:pPr>
          </w:p>
          <w:p w14:paraId="1F7B3B8C" w14:textId="77777777" w:rsidR="00237CE9" w:rsidRPr="00DA1639" w:rsidRDefault="00237CE9" w:rsidP="00237CE9">
            <w:pPr>
              <w:pStyle w:val="ListParagraph"/>
              <w:numPr>
                <w:ilvl w:val="0"/>
                <w:numId w:val="1"/>
              </w:numPr>
              <w:spacing w:before="120" w:after="120"/>
              <w:rPr>
                <w:rFonts w:ascii="Verdana" w:hAnsi="Verdana" w:cs="Arial"/>
                <w:sz w:val="19"/>
                <w:szCs w:val="19"/>
              </w:rPr>
            </w:pPr>
            <w:r w:rsidRPr="00DA1639">
              <w:rPr>
                <w:rFonts w:ascii="Verdana" w:hAnsi="Verdana" w:cs="Arial"/>
                <w:sz w:val="19"/>
                <w:szCs w:val="19"/>
              </w:rPr>
              <w:t>pay for any costs incurred in investigation of the death of any lizard; and</w:t>
            </w:r>
          </w:p>
          <w:p w14:paraId="55A82C52" w14:textId="77777777" w:rsidR="00237CE9" w:rsidRPr="00DA1639" w:rsidRDefault="00237CE9" w:rsidP="00895C44">
            <w:pPr>
              <w:pStyle w:val="ListParagraph"/>
              <w:rPr>
                <w:rFonts w:ascii="Verdana" w:hAnsi="Verdana" w:cs="Arial"/>
                <w:sz w:val="19"/>
                <w:szCs w:val="19"/>
              </w:rPr>
            </w:pPr>
          </w:p>
          <w:p w14:paraId="2FB9240D" w14:textId="77777777" w:rsidR="00237CE9" w:rsidRPr="00DA1639" w:rsidRDefault="00237CE9" w:rsidP="00237CE9">
            <w:pPr>
              <w:pStyle w:val="ListParagraph"/>
              <w:numPr>
                <w:ilvl w:val="0"/>
                <w:numId w:val="1"/>
              </w:numPr>
              <w:spacing w:before="120" w:after="120"/>
              <w:rPr>
                <w:rFonts w:ascii="Verdana" w:hAnsi="Verdana" w:cs="Arial"/>
                <w:sz w:val="19"/>
                <w:szCs w:val="19"/>
              </w:rPr>
            </w:pPr>
            <w:r w:rsidRPr="00DA1639">
              <w:rPr>
                <w:rFonts w:ascii="Verdana" w:hAnsi="Verdana" w:cs="Arial"/>
                <w:sz w:val="19"/>
                <w:szCs w:val="19"/>
              </w:rPr>
              <w:t>if required by the DOC Operations Manager, cease the Authorised Activity for a period determined by the DOC Operations Manager.</w:t>
            </w:r>
          </w:p>
        </w:tc>
        <w:tc>
          <w:tcPr>
            <w:tcW w:w="6804" w:type="dxa"/>
            <w:shd w:val="clear" w:color="auto" w:fill="D9F2D0" w:themeFill="accent6" w:themeFillTint="33"/>
          </w:tcPr>
          <w:p w14:paraId="6CA8CD87"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New condition to reflect DOC’s Appendix A.</w:t>
            </w:r>
          </w:p>
        </w:tc>
        <w:tc>
          <w:tcPr>
            <w:tcW w:w="6804" w:type="dxa"/>
          </w:tcPr>
          <w:p w14:paraId="22E1A6D6" w14:textId="77777777" w:rsidR="00237CE9" w:rsidRPr="00DA1639" w:rsidRDefault="00237CE9" w:rsidP="00895C44">
            <w:pPr>
              <w:spacing w:before="120" w:after="120"/>
              <w:rPr>
                <w:rFonts w:ascii="Verdana" w:hAnsi="Verdana" w:cs="Arial"/>
                <w:sz w:val="19"/>
                <w:szCs w:val="19"/>
              </w:rPr>
            </w:pPr>
          </w:p>
        </w:tc>
      </w:tr>
      <w:tr w:rsidR="00237CE9" w:rsidRPr="00DA1639" w14:paraId="57073828" w14:textId="77777777" w:rsidTr="00895C44">
        <w:tc>
          <w:tcPr>
            <w:tcW w:w="13745" w:type="dxa"/>
            <w:gridSpan w:val="3"/>
            <w:shd w:val="clear" w:color="auto" w:fill="D1D1D1" w:themeFill="background2" w:themeFillShade="E6"/>
          </w:tcPr>
          <w:p w14:paraId="75E28AE8" w14:textId="77777777" w:rsidR="00237CE9" w:rsidRPr="00DA1639" w:rsidRDefault="00237CE9" w:rsidP="00895C44">
            <w:pPr>
              <w:spacing w:before="120" w:after="120"/>
              <w:rPr>
                <w:rFonts w:ascii="Verdana" w:hAnsi="Verdana" w:cs="Arial"/>
                <w:b/>
                <w:bCs/>
                <w:sz w:val="19"/>
                <w:szCs w:val="19"/>
              </w:rPr>
            </w:pPr>
            <w:r w:rsidRPr="00DA1639">
              <w:rPr>
                <w:rFonts w:ascii="Verdana" w:hAnsi="Verdana" w:cs="Arial"/>
                <w:b/>
                <w:bCs/>
                <w:sz w:val="19"/>
                <w:szCs w:val="19"/>
              </w:rPr>
              <w:t>Euthanasia</w:t>
            </w:r>
          </w:p>
        </w:tc>
        <w:tc>
          <w:tcPr>
            <w:tcW w:w="6804" w:type="dxa"/>
          </w:tcPr>
          <w:p w14:paraId="0EF7E48A" w14:textId="77777777" w:rsidR="00237CE9" w:rsidRPr="00DA1639" w:rsidRDefault="00237CE9" w:rsidP="00895C44">
            <w:pPr>
              <w:spacing w:before="120" w:after="120"/>
              <w:rPr>
                <w:rFonts w:ascii="Verdana" w:hAnsi="Verdana" w:cs="Arial"/>
                <w:b/>
                <w:bCs/>
                <w:sz w:val="19"/>
                <w:szCs w:val="19"/>
              </w:rPr>
            </w:pPr>
          </w:p>
        </w:tc>
      </w:tr>
      <w:tr w:rsidR="00237CE9" w:rsidRPr="00DA1639" w14:paraId="6404093E" w14:textId="77777777" w:rsidTr="00895C44">
        <w:tc>
          <w:tcPr>
            <w:tcW w:w="988" w:type="dxa"/>
          </w:tcPr>
          <w:p w14:paraId="4B022EF2"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2DCFE0A4"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If any lizards are found injured as part of the Authorised Activity, the Approval Holder must contact the Project Ecologist to get advice on management of the lizard. Injured lizard(s) may be euthanised on recommendation of the Project Herpetologist or a veterinarian.</w:t>
            </w:r>
          </w:p>
        </w:tc>
        <w:tc>
          <w:tcPr>
            <w:tcW w:w="6804" w:type="dxa"/>
            <w:shd w:val="clear" w:color="auto" w:fill="D9F2D0" w:themeFill="accent6" w:themeFillTint="33"/>
          </w:tcPr>
          <w:p w14:paraId="1AE9CE8B"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New condition to reflect DOC’s Appendix A attached to the S51 Report.</w:t>
            </w:r>
          </w:p>
        </w:tc>
        <w:tc>
          <w:tcPr>
            <w:tcW w:w="6804" w:type="dxa"/>
          </w:tcPr>
          <w:p w14:paraId="16A5719B" w14:textId="77777777" w:rsidR="00237CE9" w:rsidRPr="00DA1639" w:rsidRDefault="00237CE9" w:rsidP="00895C44">
            <w:pPr>
              <w:spacing w:before="120" w:after="120"/>
              <w:rPr>
                <w:rFonts w:ascii="Verdana" w:hAnsi="Verdana" w:cs="Arial"/>
                <w:sz w:val="19"/>
                <w:szCs w:val="19"/>
              </w:rPr>
            </w:pPr>
          </w:p>
        </w:tc>
      </w:tr>
      <w:tr w:rsidR="00237CE9" w:rsidRPr="00DA1639" w14:paraId="0261A0AA" w14:textId="77777777" w:rsidTr="00895C44">
        <w:tc>
          <w:tcPr>
            <w:tcW w:w="13745" w:type="dxa"/>
            <w:gridSpan w:val="3"/>
            <w:shd w:val="clear" w:color="auto" w:fill="D1D1D1" w:themeFill="background2" w:themeFillShade="E6"/>
          </w:tcPr>
          <w:p w14:paraId="09E389BC" w14:textId="77777777" w:rsidR="00237CE9" w:rsidRPr="00DA1639" w:rsidRDefault="00237CE9" w:rsidP="00895C44">
            <w:pPr>
              <w:spacing w:before="120" w:after="120"/>
              <w:rPr>
                <w:rFonts w:ascii="Verdana" w:hAnsi="Verdana" w:cs="Arial"/>
                <w:b/>
                <w:bCs/>
                <w:sz w:val="19"/>
                <w:szCs w:val="19"/>
              </w:rPr>
            </w:pPr>
            <w:r w:rsidRPr="00DA1639">
              <w:rPr>
                <w:rFonts w:ascii="Verdana" w:hAnsi="Verdana" w:cs="Arial"/>
                <w:b/>
                <w:bCs/>
                <w:sz w:val="19"/>
                <w:szCs w:val="19"/>
              </w:rPr>
              <w:t xml:space="preserve">Wildlife Permit – Reporting </w:t>
            </w:r>
          </w:p>
        </w:tc>
        <w:tc>
          <w:tcPr>
            <w:tcW w:w="6804" w:type="dxa"/>
          </w:tcPr>
          <w:p w14:paraId="7927AE96" w14:textId="77777777" w:rsidR="00237CE9" w:rsidRPr="00DA1639" w:rsidRDefault="00237CE9" w:rsidP="00895C44">
            <w:pPr>
              <w:spacing w:before="120" w:after="120"/>
              <w:rPr>
                <w:rFonts w:ascii="Verdana" w:hAnsi="Verdana" w:cs="Arial"/>
                <w:b/>
                <w:bCs/>
                <w:sz w:val="19"/>
                <w:szCs w:val="19"/>
              </w:rPr>
            </w:pPr>
          </w:p>
        </w:tc>
      </w:tr>
      <w:tr w:rsidR="00237CE9" w:rsidRPr="00DA1639" w14:paraId="47AB5132" w14:textId="77777777" w:rsidTr="00895C44">
        <w:tc>
          <w:tcPr>
            <w:tcW w:w="988" w:type="dxa"/>
          </w:tcPr>
          <w:p w14:paraId="765D4A15"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73F00DE6"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A report summarising the salvage and relocation results must be prepared and submitted to DOC (</w:t>
            </w:r>
            <w:hyperlink r:id="rId10" w:history="1">
              <w:r w:rsidRPr="00DA1639">
                <w:rPr>
                  <w:rStyle w:val="Hyperlink"/>
                  <w:rFonts w:ascii="Verdana" w:hAnsi="Verdana" w:cs="Arial"/>
                  <w:color w:val="auto"/>
                  <w:sz w:val="19"/>
                  <w:szCs w:val="19"/>
                </w:rPr>
                <w:t>mahaanui@doc.govt.nz</w:t>
              </w:r>
            </w:hyperlink>
            <w:r w:rsidRPr="00DA1639">
              <w:rPr>
                <w:rFonts w:ascii="Verdana" w:hAnsi="Verdana" w:cs="Arial"/>
                <w:sz w:val="19"/>
                <w:szCs w:val="19"/>
              </w:rPr>
              <w:t xml:space="preserve"> and </w:t>
            </w:r>
            <w:hyperlink r:id="rId11" w:history="1">
              <w:r w:rsidRPr="00DA1639">
                <w:rPr>
                  <w:rStyle w:val="Hyperlink"/>
                  <w:rFonts w:ascii="Verdana" w:hAnsi="Verdana" w:cs="Arial"/>
                  <w:color w:val="auto"/>
                  <w:sz w:val="19"/>
                  <w:szCs w:val="19"/>
                </w:rPr>
                <w:t>permissionshamilton@doc.gove.nz</w:t>
              </w:r>
            </w:hyperlink>
            <w:r w:rsidRPr="00DA1639">
              <w:rPr>
                <w:rFonts w:ascii="Verdana" w:hAnsi="Verdana" w:cs="Arial"/>
                <w:sz w:val="19"/>
                <w:szCs w:val="19"/>
              </w:rPr>
              <w:t xml:space="preserve">) within 30 days from the completion date of the salvage.  Specifically, this report will include:  </w:t>
            </w:r>
          </w:p>
          <w:p w14:paraId="5B5234A7" w14:textId="77777777" w:rsidR="00237CE9" w:rsidRPr="00DA1639" w:rsidRDefault="00237CE9" w:rsidP="00237CE9">
            <w:pPr>
              <w:pStyle w:val="ListParagraph"/>
              <w:numPr>
                <w:ilvl w:val="0"/>
                <w:numId w:val="2"/>
              </w:numPr>
              <w:spacing w:before="120" w:after="120"/>
              <w:rPr>
                <w:rFonts w:ascii="Verdana" w:hAnsi="Verdana" w:cs="Arial"/>
                <w:sz w:val="19"/>
                <w:szCs w:val="19"/>
              </w:rPr>
            </w:pPr>
            <w:r w:rsidRPr="00DA1639">
              <w:rPr>
                <w:rFonts w:ascii="Verdana" w:hAnsi="Verdana" w:cs="Arial"/>
                <w:sz w:val="19"/>
                <w:szCs w:val="19"/>
              </w:rPr>
              <w:t xml:space="preserve">Details and Results of lizard salvage and relocation work.  Should native lizards be found, then the following will also be included in the report:  </w:t>
            </w:r>
          </w:p>
          <w:p w14:paraId="7BBACD7F" w14:textId="77777777" w:rsidR="00237CE9" w:rsidRPr="00DA1639" w:rsidRDefault="00237CE9" w:rsidP="00895C44">
            <w:pPr>
              <w:pStyle w:val="ListParagraph"/>
              <w:spacing w:before="120" w:after="120"/>
              <w:ind w:left="360"/>
              <w:rPr>
                <w:rFonts w:ascii="Verdana" w:hAnsi="Verdana" w:cs="Arial"/>
                <w:sz w:val="19"/>
                <w:szCs w:val="19"/>
              </w:rPr>
            </w:pPr>
          </w:p>
          <w:p w14:paraId="486A7161" w14:textId="77777777" w:rsidR="00237CE9" w:rsidRPr="00DA1639" w:rsidRDefault="00237CE9" w:rsidP="00237CE9">
            <w:pPr>
              <w:pStyle w:val="ListParagraph"/>
              <w:numPr>
                <w:ilvl w:val="1"/>
                <w:numId w:val="3"/>
              </w:numPr>
              <w:spacing w:before="120" w:after="120"/>
              <w:contextualSpacing w:val="0"/>
              <w:rPr>
                <w:rFonts w:ascii="Verdana" w:hAnsi="Verdana" w:cs="Arial"/>
                <w:sz w:val="19"/>
                <w:szCs w:val="19"/>
              </w:rPr>
            </w:pPr>
            <w:r w:rsidRPr="00DA1639">
              <w:rPr>
                <w:rFonts w:ascii="Verdana" w:hAnsi="Verdana" w:cs="Arial"/>
                <w:sz w:val="19"/>
                <w:szCs w:val="19"/>
              </w:rPr>
              <w:t>Photos of lizard salvage methods utilised;</w:t>
            </w:r>
          </w:p>
          <w:p w14:paraId="368C73F9" w14:textId="77777777" w:rsidR="00237CE9" w:rsidRPr="00DA1639" w:rsidRDefault="00237CE9" w:rsidP="00237CE9">
            <w:pPr>
              <w:pStyle w:val="ListParagraph"/>
              <w:numPr>
                <w:ilvl w:val="1"/>
                <w:numId w:val="3"/>
              </w:numPr>
              <w:spacing w:before="120" w:after="120"/>
              <w:contextualSpacing w:val="0"/>
              <w:rPr>
                <w:rFonts w:ascii="Verdana" w:hAnsi="Verdana" w:cs="Arial"/>
                <w:sz w:val="19"/>
                <w:szCs w:val="19"/>
              </w:rPr>
            </w:pPr>
            <w:r w:rsidRPr="00DA1639">
              <w:rPr>
                <w:rFonts w:ascii="Verdana" w:hAnsi="Verdana" w:cs="Arial"/>
                <w:sz w:val="19"/>
                <w:szCs w:val="19"/>
              </w:rPr>
              <w:lastRenderedPageBreak/>
              <w:t>Photos of lizards captured (including photos of the salvage and relocation areas);</w:t>
            </w:r>
          </w:p>
          <w:p w14:paraId="4549FA36" w14:textId="77777777" w:rsidR="00237CE9" w:rsidRPr="00DA1639" w:rsidRDefault="00237CE9" w:rsidP="00237CE9">
            <w:pPr>
              <w:pStyle w:val="ListParagraph"/>
              <w:numPr>
                <w:ilvl w:val="1"/>
                <w:numId w:val="3"/>
              </w:numPr>
              <w:spacing w:before="120" w:after="120"/>
              <w:contextualSpacing w:val="0"/>
              <w:rPr>
                <w:rFonts w:ascii="Verdana" w:hAnsi="Verdana" w:cs="Arial"/>
                <w:sz w:val="19"/>
                <w:szCs w:val="19"/>
              </w:rPr>
            </w:pPr>
            <w:r w:rsidRPr="00DA1639">
              <w:rPr>
                <w:rFonts w:ascii="Verdana" w:hAnsi="Verdana" w:cs="Arial"/>
                <w:sz w:val="19"/>
                <w:szCs w:val="19"/>
              </w:rPr>
              <w:t xml:space="preserve">A map showing the location of lizard upon capture and upon release; </w:t>
            </w:r>
          </w:p>
          <w:p w14:paraId="4210D2E4" w14:textId="77777777" w:rsidR="00237CE9" w:rsidRPr="00DA1639" w:rsidRDefault="00237CE9" w:rsidP="00237CE9">
            <w:pPr>
              <w:pStyle w:val="ListParagraph"/>
              <w:numPr>
                <w:ilvl w:val="1"/>
                <w:numId w:val="3"/>
              </w:numPr>
              <w:spacing w:before="120" w:after="120"/>
              <w:contextualSpacing w:val="0"/>
              <w:rPr>
                <w:rFonts w:ascii="Verdana" w:hAnsi="Verdana" w:cs="Arial"/>
                <w:sz w:val="19"/>
                <w:szCs w:val="19"/>
              </w:rPr>
            </w:pPr>
            <w:r w:rsidRPr="00DA1639">
              <w:rPr>
                <w:rFonts w:ascii="Verdana" w:hAnsi="Verdana" w:cs="Arial"/>
                <w:sz w:val="19"/>
                <w:szCs w:val="19"/>
              </w:rPr>
              <w:t>The species and number of any lizards detected, captured, and released, and</w:t>
            </w:r>
          </w:p>
          <w:p w14:paraId="1A77568A" w14:textId="77777777" w:rsidR="00237CE9" w:rsidRPr="00DA1639" w:rsidRDefault="00237CE9" w:rsidP="00237CE9">
            <w:pPr>
              <w:pStyle w:val="ListParagraph"/>
              <w:numPr>
                <w:ilvl w:val="1"/>
                <w:numId w:val="3"/>
              </w:numPr>
              <w:spacing w:before="120" w:after="120"/>
              <w:contextualSpacing w:val="0"/>
              <w:rPr>
                <w:rFonts w:ascii="Verdana" w:hAnsi="Verdana" w:cs="Arial"/>
                <w:sz w:val="19"/>
                <w:szCs w:val="19"/>
              </w:rPr>
            </w:pPr>
            <w:r w:rsidRPr="00DA1639">
              <w:rPr>
                <w:rFonts w:ascii="Verdana" w:hAnsi="Verdana" w:cs="Arial"/>
                <w:sz w:val="19"/>
                <w:szCs w:val="19"/>
              </w:rPr>
              <w:t>The results of all surveys and monitoring.</w:t>
            </w:r>
          </w:p>
          <w:p w14:paraId="6F3F9A36" w14:textId="77777777" w:rsidR="00237CE9" w:rsidRPr="00DA1639" w:rsidRDefault="00237CE9" w:rsidP="00237CE9">
            <w:pPr>
              <w:pStyle w:val="ListParagraph"/>
              <w:numPr>
                <w:ilvl w:val="0"/>
                <w:numId w:val="3"/>
              </w:numPr>
              <w:spacing w:before="120" w:after="120"/>
              <w:contextualSpacing w:val="0"/>
              <w:rPr>
                <w:rFonts w:ascii="Verdana" w:hAnsi="Verdana" w:cs="Arial"/>
                <w:sz w:val="19"/>
                <w:szCs w:val="19"/>
              </w:rPr>
            </w:pPr>
          </w:p>
          <w:p w14:paraId="760BFEA7" w14:textId="77777777" w:rsidR="00237CE9" w:rsidRPr="00DA1639" w:rsidRDefault="00237CE9" w:rsidP="00237CE9">
            <w:pPr>
              <w:pStyle w:val="ListParagraph"/>
              <w:numPr>
                <w:ilvl w:val="0"/>
                <w:numId w:val="2"/>
              </w:numPr>
              <w:spacing w:before="120" w:after="120"/>
              <w:rPr>
                <w:rFonts w:ascii="Verdana" w:hAnsi="Verdana" w:cs="Arial"/>
                <w:sz w:val="19"/>
                <w:szCs w:val="19"/>
              </w:rPr>
            </w:pPr>
            <w:r w:rsidRPr="00DA1639">
              <w:rPr>
                <w:rFonts w:ascii="Verdana" w:hAnsi="Verdana" w:cs="Arial"/>
                <w:sz w:val="19"/>
                <w:szCs w:val="19"/>
              </w:rPr>
              <w:t xml:space="preserve">Descriptions of how lizard management activities outlined in the LMP were followed, including conditions detailed in the WAA permit and associated resource consent conditions;  </w:t>
            </w:r>
          </w:p>
          <w:p w14:paraId="45354261" w14:textId="77777777" w:rsidR="00237CE9" w:rsidRPr="00DA1639" w:rsidRDefault="00237CE9" w:rsidP="00895C44">
            <w:pPr>
              <w:pStyle w:val="ListParagraph"/>
              <w:spacing w:before="120" w:after="120"/>
              <w:ind w:left="360"/>
              <w:rPr>
                <w:rFonts w:ascii="Verdana" w:hAnsi="Verdana" w:cs="Arial"/>
                <w:sz w:val="19"/>
                <w:szCs w:val="19"/>
              </w:rPr>
            </w:pPr>
          </w:p>
          <w:p w14:paraId="27406ADE" w14:textId="77777777" w:rsidR="00237CE9" w:rsidRPr="00DA1639" w:rsidRDefault="00237CE9" w:rsidP="00237CE9">
            <w:pPr>
              <w:pStyle w:val="ListParagraph"/>
              <w:numPr>
                <w:ilvl w:val="0"/>
                <w:numId w:val="2"/>
              </w:numPr>
              <w:spacing w:before="120" w:after="120"/>
              <w:rPr>
                <w:rFonts w:ascii="Verdana" w:hAnsi="Verdana" w:cs="Arial"/>
                <w:sz w:val="19"/>
                <w:szCs w:val="19"/>
              </w:rPr>
            </w:pPr>
            <w:r w:rsidRPr="00DA1639">
              <w:rPr>
                <w:rFonts w:ascii="Verdana" w:hAnsi="Verdana" w:cs="Arial"/>
                <w:sz w:val="19"/>
                <w:szCs w:val="19"/>
              </w:rPr>
              <w:t>An Amphibian and Reptile Distribution Scheme (ARDS) card detailing information relating to captured lizards</w:t>
            </w:r>
            <w:r w:rsidRPr="00DA1639">
              <w:rPr>
                <w:rFonts w:ascii="Verdana" w:hAnsi="Verdana"/>
                <w:sz w:val="19"/>
                <w:szCs w:val="19"/>
              </w:rPr>
              <w:t xml:space="preserve"> </w:t>
            </w:r>
            <w:r w:rsidRPr="00DA1639">
              <w:rPr>
                <w:rFonts w:ascii="Verdana" w:hAnsi="Verdana" w:cs="Arial"/>
                <w:sz w:val="19"/>
                <w:szCs w:val="19"/>
              </w:rPr>
              <w:t xml:space="preserve">(also to be provided to herpetofauna@doc.govt.nz); and,  </w:t>
            </w:r>
          </w:p>
          <w:p w14:paraId="6D508224" w14:textId="77777777" w:rsidR="00237CE9" w:rsidRPr="00DA1639" w:rsidRDefault="00237CE9" w:rsidP="00895C44">
            <w:pPr>
              <w:pStyle w:val="ListParagraph"/>
              <w:rPr>
                <w:rFonts w:ascii="Verdana" w:hAnsi="Verdana" w:cs="Arial"/>
                <w:sz w:val="19"/>
                <w:szCs w:val="19"/>
              </w:rPr>
            </w:pPr>
          </w:p>
          <w:p w14:paraId="449D8176" w14:textId="77777777" w:rsidR="00237CE9" w:rsidRPr="00DA1639" w:rsidRDefault="00237CE9" w:rsidP="00237CE9">
            <w:pPr>
              <w:pStyle w:val="ListParagraph"/>
              <w:numPr>
                <w:ilvl w:val="0"/>
                <w:numId w:val="2"/>
              </w:numPr>
              <w:spacing w:before="120" w:after="120"/>
              <w:rPr>
                <w:rFonts w:ascii="Verdana" w:hAnsi="Verdana" w:cs="Arial"/>
                <w:sz w:val="19"/>
                <w:szCs w:val="19"/>
              </w:rPr>
            </w:pPr>
            <w:r w:rsidRPr="00DA1639">
              <w:rPr>
                <w:rFonts w:ascii="Verdana" w:hAnsi="Verdana" w:cs="Arial"/>
                <w:sz w:val="19"/>
                <w:szCs w:val="19"/>
              </w:rPr>
              <w:t xml:space="preserve">A brief summary regarding the outcomes of the LMP, including any improvements/changes that should be implemented in future. </w:t>
            </w:r>
          </w:p>
        </w:tc>
        <w:tc>
          <w:tcPr>
            <w:tcW w:w="6804" w:type="dxa"/>
            <w:shd w:val="clear" w:color="auto" w:fill="D9F2D0" w:themeFill="accent6" w:themeFillTint="33"/>
          </w:tcPr>
          <w:p w14:paraId="697C525F"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lastRenderedPageBreak/>
              <w:t>New condition to reflect DOC’s Appendix A attached to the S51 Report.</w:t>
            </w:r>
          </w:p>
        </w:tc>
        <w:tc>
          <w:tcPr>
            <w:tcW w:w="6804" w:type="dxa"/>
          </w:tcPr>
          <w:p w14:paraId="617103CA" w14:textId="77777777" w:rsidR="00237CE9" w:rsidRPr="00DA1639" w:rsidRDefault="00237CE9" w:rsidP="00895C44">
            <w:pPr>
              <w:spacing w:before="120" w:after="120"/>
              <w:rPr>
                <w:rFonts w:ascii="Verdana" w:hAnsi="Verdana" w:cs="Arial"/>
                <w:sz w:val="19"/>
                <w:szCs w:val="19"/>
              </w:rPr>
            </w:pPr>
          </w:p>
        </w:tc>
      </w:tr>
      <w:tr w:rsidR="00237CE9" w:rsidRPr="00DA1639" w14:paraId="7F2D9BB5" w14:textId="77777777" w:rsidTr="00895C44">
        <w:tc>
          <w:tcPr>
            <w:tcW w:w="13745" w:type="dxa"/>
            <w:gridSpan w:val="3"/>
            <w:shd w:val="clear" w:color="auto" w:fill="D9D9D9" w:themeFill="background1" w:themeFillShade="D9"/>
          </w:tcPr>
          <w:p w14:paraId="1256CBD3" w14:textId="77777777" w:rsidR="00237CE9" w:rsidRPr="00DA1639" w:rsidRDefault="00237CE9" w:rsidP="00895C44">
            <w:pPr>
              <w:spacing w:before="120" w:after="120"/>
              <w:rPr>
                <w:rFonts w:ascii="Verdana" w:hAnsi="Verdana" w:cs="Arial"/>
                <w:b/>
                <w:bCs/>
                <w:sz w:val="19"/>
                <w:szCs w:val="19"/>
              </w:rPr>
            </w:pPr>
            <w:r w:rsidRPr="00DA1639">
              <w:rPr>
                <w:rFonts w:ascii="Verdana" w:hAnsi="Verdana" w:cs="Arial"/>
                <w:b/>
                <w:bCs/>
                <w:sz w:val="19"/>
                <w:szCs w:val="19"/>
              </w:rPr>
              <w:t>Wildlife Permit – Variations</w:t>
            </w:r>
          </w:p>
        </w:tc>
        <w:tc>
          <w:tcPr>
            <w:tcW w:w="6804" w:type="dxa"/>
          </w:tcPr>
          <w:p w14:paraId="26D61D45" w14:textId="77777777" w:rsidR="00237CE9" w:rsidRPr="00DA1639" w:rsidRDefault="00237CE9" w:rsidP="00895C44">
            <w:pPr>
              <w:spacing w:before="120" w:after="120"/>
              <w:rPr>
                <w:rFonts w:ascii="Verdana" w:hAnsi="Verdana" w:cs="Arial"/>
                <w:b/>
                <w:bCs/>
                <w:sz w:val="19"/>
                <w:szCs w:val="19"/>
              </w:rPr>
            </w:pPr>
          </w:p>
        </w:tc>
      </w:tr>
      <w:tr w:rsidR="00237CE9" w:rsidRPr="00DA1639" w14:paraId="7D386DC4" w14:textId="77777777" w:rsidTr="00895C44">
        <w:tc>
          <w:tcPr>
            <w:tcW w:w="988" w:type="dxa"/>
          </w:tcPr>
          <w:p w14:paraId="13BB5F13" w14:textId="77777777" w:rsidR="00237CE9" w:rsidRPr="008B57ED" w:rsidRDefault="00237CE9" w:rsidP="00237CE9">
            <w:pPr>
              <w:pStyle w:val="ListParagraph"/>
              <w:numPr>
                <w:ilvl w:val="0"/>
                <w:numId w:val="4"/>
              </w:numPr>
              <w:spacing w:before="120" w:after="120"/>
              <w:jc w:val="center"/>
              <w:rPr>
                <w:rFonts w:ascii="Verdana" w:hAnsi="Verdana" w:cs="Arial"/>
                <w:strike/>
                <w:color w:val="0070C0"/>
                <w:sz w:val="19"/>
                <w:szCs w:val="19"/>
              </w:rPr>
            </w:pPr>
          </w:p>
        </w:tc>
        <w:tc>
          <w:tcPr>
            <w:tcW w:w="5953" w:type="dxa"/>
          </w:tcPr>
          <w:p w14:paraId="163B1A2C" w14:textId="77777777" w:rsidR="00237CE9" w:rsidRPr="008B57ED" w:rsidRDefault="00237CE9" w:rsidP="00895C44">
            <w:pPr>
              <w:spacing w:before="120" w:after="120"/>
              <w:rPr>
                <w:rFonts w:ascii="Verdana" w:hAnsi="Verdana" w:cs="Arial"/>
                <w:strike/>
                <w:color w:val="0070C0"/>
                <w:sz w:val="19"/>
                <w:szCs w:val="19"/>
              </w:rPr>
            </w:pPr>
            <w:r w:rsidRPr="008B57ED">
              <w:rPr>
                <w:rFonts w:ascii="Verdana" w:hAnsi="Verdana" w:cs="Arial"/>
                <w:strike/>
                <w:color w:val="0070C0"/>
                <w:sz w:val="19"/>
                <w:szCs w:val="19"/>
              </w:rPr>
              <w:t>The Approval Holder may apply to the Director-General for variations to this Approval in accordance with clause 7(2) of Schedule 7 of the Fast-track Approvals Act 2024.</w:t>
            </w:r>
          </w:p>
        </w:tc>
        <w:tc>
          <w:tcPr>
            <w:tcW w:w="6804" w:type="dxa"/>
            <w:shd w:val="clear" w:color="auto" w:fill="D9F2D0" w:themeFill="accent6" w:themeFillTint="33"/>
          </w:tcPr>
          <w:p w14:paraId="7467BB49"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New condition to reflect DOC’s Appendix A attached to the S51 Report.</w:t>
            </w:r>
          </w:p>
        </w:tc>
        <w:tc>
          <w:tcPr>
            <w:tcW w:w="6804" w:type="dxa"/>
          </w:tcPr>
          <w:p w14:paraId="4A88CD4A" w14:textId="7626B00B" w:rsidR="00237CE9" w:rsidRPr="00DA1639" w:rsidRDefault="0072661A" w:rsidP="00895C44">
            <w:pPr>
              <w:spacing w:before="120" w:after="120"/>
              <w:rPr>
                <w:rFonts w:ascii="Verdana" w:hAnsi="Verdana" w:cs="Arial"/>
                <w:sz w:val="19"/>
                <w:szCs w:val="19"/>
              </w:rPr>
            </w:pPr>
            <w:r>
              <w:rPr>
                <w:rFonts w:ascii="Verdana" w:hAnsi="Verdana" w:cs="Arial"/>
                <w:sz w:val="19"/>
                <w:szCs w:val="19"/>
              </w:rPr>
              <w:t xml:space="preserve">It seems unusual to have a condition replicating a statutory entitlement. </w:t>
            </w:r>
            <w:r w:rsidR="008B57ED">
              <w:rPr>
                <w:rFonts w:ascii="Verdana" w:hAnsi="Verdana" w:cs="Arial"/>
                <w:sz w:val="19"/>
                <w:szCs w:val="19"/>
              </w:rPr>
              <w:t>The panel considers this</w:t>
            </w:r>
            <w:r>
              <w:rPr>
                <w:rFonts w:ascii="Verdana" w:hAnsi="Verdana" w:cs="Arial"/>
                <w:sz w:val="19"/>
                <w:szCs w:val="19"/>
              </w:rPr>
              <w:t xml:space="preserve"> condition can be deleted.</w:t>
            </w:r>
          </w:p>
        </w:tc>
      </w:tr>
      <w:tr w:rsidR="00237CE9" w:rsidRPr="00DA1639" w14:paraId="5C73BF3C" w14:textId="77777777" w:rsidTr="00895C44">
        <w:tc>
          <w:tcPr>
            <w:tcW w:w="13745" w:type="dxa"/>
            <w:gridSpan w:val="3"/>
            <w:shd w:val="clear" w:color="auto" w:fill="D9D9D9" w:themeFill="background1" w:themeFillShade="D9"/>
          </w:tcPr>
          <w:p w14:paraId="78D7E8E4" w14:textId="77777777" w:rsidR="00237CE9" w:rsidRPr="00DA1639" w:rsidRDefault="00237CE9" w:rsidP="00895C44">
            <w:pPr>
              <w:spacing w:before="120" w:after="120"/>
              <w:rPr>
                <w:rFonts w:ascii="Verdana" w:hAnsi="Verdana" w:cs="Arial"/>
                <w:b/>
                <w:bCs/>
                <w:sz w:val="19"/>
                <w:szCs w:val="19"/>
              </w:rPr>
            </w:pPr>
            <w:r w:rsidRPr="00DA1639">
              <w:rPr>
                <w:rFonts w:ascii="Verdana" w:hAnsi="Verdana" w:cs="Arial"/>
                <w:b/>
                <w:bCs/>
                <w:sz w:val="19"/>
                <w:szCs w:val="19"/>
              </w:rPr>
              <w:t>Wildlife Permit – Costs</w:t>
            </w:r>
          </w:p>
        </w:tc>
        <w:tc>
          <w:tcPr>
            <w:tcW w:w="6804" w:type="dxa"/>
          </w:tcPr>
          <w:p w14:paraId="0E0E7A3A" w14:textId="77777777" w:rsidR="00237CE9" w:rsidRPr="00DA1639" w:rsidRDefault="00237CE9" w:rsidP="00895C44">
            <w:pPr>
              <w:spacing w:before="120" w:after="120"/>
              <w:rPr>
                <w:rFonts w:ascii="Verdana" w:hAnsi="Verdana" w:cs="Arial"/>
                <w:b/>
                <w:bCs/>
                <w:sz w:val="19"/>
                <w:szCs w:val="19"/>
              </w:rPr>
            </w:pPr>
          </w:p>
        </w:tc>
      </w:tr>
      <w:tr w:rsidR="00237CE9" w:rsidRPr="00DA1639" w14:paraId="5C0915C2" w14:textId="77777777" w:rsidTr="00895C44">
        <w:tc>
          <w:tcPr>
            <w:tcW w:w="988" w:type="dxa"/>
          </w:tcPr>
          <w:p w14:paraId="5F7C5B87"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40D0381D"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 xml:space="preserve">The Approval Holder must pay the Department of Conservation’s standard charge-out rates for any staff time and mileage required to monitor compliance with this Approval and to investigate any alleged breaches of the terms and conditions of it. </w:t>
            </w:r>
          </w:p>
        </w:tc>
        <w:tc>
          <w:tcPr>
            <w:tcW w:w="6804" w:type="dxa"/>
            <w:shd w:val="clear" w:color="auto" w:fill="D9F2D0" w:themeFill="accent6" w:themeFillTint="33"/>
          </w:tcPr>
          <w:p w14:paraId="0F0583DC"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New condition to reflect DOC’s Appendix A attached to the S51 Report.</w:t>
            </w:r>
          </w:p>
        </w:tc>
        <w:tc>
          <w:tcPr>
            <w:tcW w:w="6804" w:type="dxa"/>
          </w:tcPr>
          <w:p w14:paraId="61A041CC" w14:textId="77777777" w:rsidR="00237CE9" w:rsidRPr="00DA1639" w:rsidRDefault="00237CE9" w:rsidP="00895C44">
            <w:pPr>
              <w:spacing w:before="120" w:after="120"/>
              <w:rPr>
                <w:rFonts w:ascii="Verdana" w:hAnsi="Verdana" w:cs="Arial"/>
                <w:sz w:val="19"/>
                <w:szCs w:val="19"/>
              </w:rPr>
            </w:pPr>
          </w:p>
        </w:tc>
      </w:tr>
      <w:tr w:rsidR="00237CE9" w:rsidRPr="00DA1639" w14:paraId="299AD305" w14:textId="77777777" w:rsidTr="00895C44">
        <w:tc>
          <w:tcPr>
            <w:tcW w:w="13745" w:type="dxa"/>
            <w:gridSpan w:val="3"/>
            <w:shd w:val="clear" w:color="auto" w:fill="D1D1D1" w:themeFill="background2" w:themeFillShade="E6"/>
          </w:tcPr>
          <w:p w14:paraId="6394ADD5" w14:textId="77777777" w:rsidR="00237CE9" w:rsidRPr="00DA1639" w:rsidRDefault="00237CE9" w:rsidP="00895C44">
            <w:pPr>
              <w:spacing w:before="120" w:after="120"/>
              <w:rPr>
                <w:rFonts w:ascii="Verdana" w:hAnsi="Verdana" w:cs="Arial"/>
                <w:b/>
                <w:bCs/>
                <w:sz w:val="19"/>
                <w:szCs w:val="19"/>
              </w:rPr>
            </w:pPr>
            <w:r w:rsidRPr="00DA1639">
              <w:rPr>
                <w:rFonts w:ascii="Verdana" w:hAnsi="Verdana" w:cs="Arial"/>
                <w:b/>
                <w:bCs/>
                <w:sz w:val="19"/>
                <w:szCs w:val="19"/>
              </w:rPr>
              <w:t>Compliance with Legislation and Director-General’s Notices and Directions</w:t>
            </w:r>
          </w:p>
        </w:tc>
        <w:tc>
          <w:tcPr>
            <w:tcW w:w="6804" w:type="dxa"/>
          </w:tcPr>
          <w:p w14:paraId="59DDB5F8" w14:textId="77777777" w:rsidR="00237CE9" w:rsidRPr="00DA1639" w:rsidRDefault="00237CE9" w:rsidP="00895C44">
            <w:pPr>
              <w:spacing w:before="120" w:after="120"/>
              <w:rPr>
                <w:rFonts w:ascii="Verdana" w:hAnsi="Verdana" w:cs="Arial"/>
                <w:b/>
                <w:bCs/>
                <w:sz w:val="19"/>
                <w:szCs w:val="19"/>
              </w:rPr>
            </w:pPr>
          </w:p>
        </w:tc>
      </w:tr>
      <w:tr w:rsidR="00237CE9" w:rsidRPr="00DA1639" w14:paraId="3ECEECAE" w14:textId="77777777" w:rsidTr="00895C44">
        <w:tc>
          <w:tcPr>
            <w:tcW w:w="988" w:type="dxa"/>
          </w:tcPr>
          <w:p w14:paraId="339E3E2F"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58C462F8" w14:textId="02093CAC" w:rsidR="00237CE9" w:rsidRPr="00DA1639" w:rsidRDefault="00237CE9" w:rsidP="00895C44">
            <w:pPr>
              <w:spacing w:before="120" w:after="120"/>
              <w:rPr>
                <w:rFonts w:ascii="Verdana" w:hAnsi="Verdana" w:cs="Arial"/>
                <w:sz w:val="19"/>
                <w:szCs w:val="19"/>
              </w:rPr>
            </w:pPr>
            <w:r w:rsidRPr="008B57ED">
              <w:rPr>
                <w:rFonts w:ascii="Verdana" w:hAnsi="Verdana" w:cs="Arial"/>
                <w:strike/>
                <w:color w:val="0070C0"/>
                <w:sz w:val="19"/>
                <w:szCs w:val="19"/>
              </w:rPr>
              <w:t>NTP Development Holdings Limited</w:t>
            </w:r>
            <w:r w:rsidR="008B57ED" w:rsidRPr="008B57ED">
              <w:rPr>
                <w:rFonts w:ascii="Verdana" w:hAnsi="Verdana" w:cs="Arial"/>
                <w:color w:val="0070C0"/>
                <w:sz w:val="19"/>
                <w:szCs w:val="19"/>
                <w:u w:val="single"/>
              </w:rPr>
              <w:t>The permit holder</w:t>
            </w:r>
            <w:r w:rsidRPr="008B57ED">
              <w:rPr>
                <w:rFonts w:ascii="Verdana" w:hAnsi="Verdana" w:cs="Arial"/>
                <w:color w:val="0070C0"/>
                <w:sz w:val="19"/>
                <w:szCs w:val="19"/>
              </w:rPr>
              <w:t xml:space="preserve"> </w:t>
            </w:r>
            <w:r w:rsidRPr="00DA1639">
              <w:rPr>
                <w:rFonts w:ascii="Verdana" w:hAnsi="Verdana" w:cs="Arial"/>
                <w:sz w:val="19"/>
                <w:szCs w:val="19"/>
              </w:rPr>
              <w:t>must comply with all notices, directions, and requisitions of the Director-General and any competent authority relating to the exercise of the Approval.</w:t>
            </w:r>
          </w:p>
        </w:tc>
        <w:tc>
          <w:tcPr>
            <w:tcW w:w="6804" w:type="dxa"/>
            <w:shd w:val="clear" w:color="auto" w:fill="D9F2D0" w:themeFill="accent6" w:themeFillTint="33"/>
          </w:tcPr>
          <w:p w14:paraId="0115B264"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New condition to reflect DOC’s Appendix A attached to the S51 Report.</w:t>
            </w:r>
          </w:p>
        </w:tc>
        <w:tc>
          <w:tcPr>
            <w:tcW w:w="6804" w:type="dxa"/>
          </w:tcPr>
          <w:p w14:paraId="38696831" w14:textId="36AAD7DA" w:rsidR="00237CE9" w:rsidRPr="00DA1639" w:rsidRDefault="00D57B34" w:rsidP="00895C44">
            <w:pPr>
              <w:spacing w:before="120" w:after="120"/>
              <w:rPr>
                <w:rFonts w:ascii="Verdana" w:hAnsi="Verdana" w:cs="Arial"/>
                <w:sz w:val="19"/>
                <w:szCs w:val="19"/>
              </w:rPr>
            </w:pPr>
            <w:r>
              <w:rPr>
                <w:rFonts w:ascii="Verdana" w:hAnsi="Verdana" w:cs="Arial"/>
                <w:sz w:val="19"/>
                <w:szCs w:val="19"/>
              </w:rPr>
              <w:t>I</w:t>
            </w:r>
            <w:r w:rsidRPr="00D57B34">
              <w:rPr>
                <w:rFonts w:ascii="Verdana" w:hAnsi="Verdana" w:cs="Arial"/>
                <w:sz w:val="19"/>
                <w:szCs w:val="19"/>
              </w:rPr>
              <w:t>s the approval specific to an entity, or can it be transferred, say</w:t>
            </w:r>
            <w:r w:rsidR="008B57ED">
              <w:rPr>
                <w:rFonts w:ascii="Verdana" w:hAnsi="Verdana" w:cs="Arial"/>
                <w:sz w:val="19"/>
                <w:szCs w:val="19"/>
              </w:rPr>
              <w:t>,</w:t>
            </w:r>
            <w:r w:rsidRPr="00D57B34">
              <w:rPr>
                <w:rFonts w:ascii="Verdana" w:hAnsi="Verdana" w:cs="Arial"/>
                <w:sz w:val="19"/>
                <w:szCs w:val="19"/>
              </w:rPr>
              <w:t xml:space="preserve"> to a different </w:t>
            </w:r>
            <w:r>
              <w:rPr>
                <w:rFonts w:ascii="Verdana" w:hAnsi="Verdana" w:cs="Arial"/>
                <w:sz w:val="19"/>
                <w:szCs w:val="19"/>
              </w:rPr>
              <w:t xml:space="preserve">party. Should the condition therefore refer to </w:t>
            </w:r>
            <w:r w:rsidR="00236DEA">
              <w:rPr>
                <w:rFonts w:ascii="Verdana" w:hAnsi="Verdana" w:cs="Arial"/>
                <w:sz w:val="19"/>
                <w:szCs w:val="19"/>
              </w:rPr>
              <w:t>“The permit holder…”</w:t>
            </w:r>
          </w:p>
        </w:tc>
      </w:tr>
      <w:tr w:rsidR="00237CE9" w:rsidRPr="00DA1639" w14:paraId="62EF51FF" w14:textId="77777777" w:rsidTr="00895C44">
        <w:tc>
          <w:tcPr>
            <w:tcW w:w="13745" w:type="dxa"/>
            <w:gridSpan w:val="3"/>
            <w:shd w:val="clear" w:color="auto" w:fill="D1D1D1" w:themeFill="background2" w:themeFillShade="E6"/>
          </w:tcPr>
          <w:p w14:paraId="235A9C17" w14:textId="77777777" w:rsidR="00237CE9" w:rsidRPr="00DA1639" w:rsidRDefault="00237CE9" w:rsidP="00895C44">
            <w:pPr>
              <w:spacing w:before="120" w:after="120"/>
              <w:rPr>
                <w:rFonts w:ascii="Verdana" w:hAnsi="Verdana" w:cs="Arial"/>
                <w:b/>
                <w:bCs/>
                <w:sz w:val="19"/>
                <w:szCs w:val="19"/>
              </w:rPr>
            </w:pPr>
            <w:r w:rsidRPr="00DA1639">
              <w:rPr>
                <w:rFonts w:ascii="Verdana" w:hAnsi="Verdana" w:cs="Arial"/>
                <w:b/>
                <w:bCs/>
                <w:sz w:val="19"/>
                <w:szCs w:val="19"/>
              </w:rPr>
              <w:t>Employees, Contractors, or Agents</w:t>
            </w:r>
          </w:p>
        </w:tc>
        <w:tc>
          <w:tcPr>
            <w:tcW w:w="6804" w:type="dxa"/>
          </w:tcPr>
          <w:p w14:paraId="6622DFC4" w14:textId="77777777" w:rsidR="00237CE9" w:rsidRPr="00DA1639" w:rsidRDefault="00237CE9" w:rsidP="00895C44">
            <w:pPr>
              <w:spacing w:before="120" w:after="120"/>
              <w:rPr>
                <w:rFonts w:ascii="Verdana" w:hAnsi="Verdana" w:cs="Arial"/>
                <w:b/>
                <w:bCs/>
                <w:sz w:val="19"/>
                <w:szCs w:val="19"/>
              </w:rPr>
            </w:pPr>
          </w:p>
        </w:tc>
      </w:tr>
      <w:tr w:rsidR="00237CE9" w:rsidRPr="00DA1639" w14:paraId="1C7332C7" w14:textId="77777777" w:rsidTr="00895C44">
        <w:tc>
          <w:tcPr>
            <w:tcW w:w="988" w:type="dxa"/>
          </w:tcPr>
          <w:p w14:paraId="12297DC7"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5CCB0279"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NTP Development Holdings Limited is responsible for the acts and omissions of its employees, contractors and agents.</w:t>
            </w:r>
          </w:p>
        </w:tc>
        <w:tc>
          <w:tcPr>
            <w:tcW w:w="6804" w:type="dxa"/>
            <w:shd w:val="clear" w:color="auto" w:fill="D9F2D0" w:themeFill="accent6" w:themeFillTint="33"/>
          </w:tcPr>
          <w:p w14:paraId="732ACB39"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New condition to reflect DOC’s Appendix A attached to the S51 Report.</w:t>
            </w:r>
          </w:p>
        </w:tc>
        <w:tc>
          <w:tcPr>
            <w:tcW w:w="6804" w:type="dxa"/>
          </w:tcPr>
          <w:p w14:paraId="4BC33FCB" w14:textId="77777777" w:rsidR="00237CE9" w:rsidRPr="00DA1639" w:rsidRDefault="00237CE9" w:rsidP="00895C44">
            <w:pPr>
              <w:spacing w:before="120" w:after="120"/>
              <w:rPr>
                <w:rFonts w:ascii="Verdana" w:hAnsi="Verdana" w:cs="Arial"/>
                <w:sz w:val="19"/>
                <w:szCs w:val="19"/>
              </w:rPr>
            </w:pPr>
          </w:p>
        </w:tc>
      </w:tr>
      <w:tr w:rsidR="00237CE9" w:rsidRPr="00DA1639" w14:paraId="680E3B25" w14:textId="77777777" w:rsidTr="00895C44">
        <w:tc>
          <w:tcPr>
            <w:tcW w:w="988" w:type="dxa"/>
          </w:tcPr>
          <w:p w14:paraId="0A6FC294"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7C8869C6"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NTP Development Holdings Limited is liable under this Approval for any breach of its terms by employees, contractors, or agents, as if the breach were committed by NTP Development Holdings Limited.</w:t>
            </w:r>
          </w:p>
        </w:tc>
        <w:tc>
          <w:tcPr>
            <w:tcW w:w="6804" w:type="dxa"/>
            <w:shd w:val="clear" w:color="auto" w:fill="D9F2D0" w:themeFill="accent6" w:themeFillTint="33"/>
          </w:tcPr>
          <w:p w14:paraId="184ED21C"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New condition to reflect DOC’s Appendix A attached to the S51 Report.</w:t>
            </w:r>
          </w:p>
        </w:tc>
        <w:tc>
          <w:tcPr>
            <w:tcW w:w="6804" w:type="dxa"/>
          </w:tcPr>
          <w:p w14:paraId="22DF3558" w14:textId="77777777" w:rsidR="00237CE9" w:rsidRPr="00DA1639" w:rsidRDefault="00237CE9" w:rsidP="00895C44">
            <w:pPr>
              <w:spacing w:before="120" w:after="120"/>
              <w:rPr>
                <w:rFonts w:ascii="Verdana" w:hAnsi="Verdana" w:cs="Arial"/>
                <w:sz w:val="19"/>
                <w:szCs w:val="19"/>
              </w:rPr>
            </w:pPr>
          </w:p>
        </w:tc>
      </w:tr>
      <w:tr w:rsidR="00237CE9" w:rsidRPr="00DA1639" w14:paraId="7DBC9B31" w14:textId="77777777" w:rsidTr="00895C44">
        <w:tc>
          <w:tcPr>
            <w:tcW w:w="988" w:type="dxa"/>
          </w:tcPr>
          <w:p w14:paraId="04FFF3E7" w14:textId="77777777" w:rsidR="00237CE9" w:rsidRPr="00DA1639" w:rsidRDefault="00237CE9" w:rsidP="00237CE9">
            <w:pPr>
              <w:pStyle w:val="ListParagraph"/>
              <w:numPr>
                <w:ilvl w:val="0"/>
                <w:numId w:val="4"/>
              </w:numPr>
              <w:spacing w:before="120" w:after="120"/>
              <w:jc w:val="center"/>
              <w:rPr>
                <w:rFonts w:ascii="Verdana" w:hAnsi="Verdana" w:cs="Arial"/>
                <w:sz w:val="19"/>
                <w:szCs w:val="19"/>
              </w:rPr>
            </w:pPr>
          </w:p>
        </w:tc>
        <w:tc>
          <w:tcPr>
            <w:tcW w:w="5953" w:type="dxa"/>
          </w:tcPr>
          <w:p w14:paraId="6A3CA940"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 xml:space="preserve">Where obligations bind more than one person, these obligations bind those persons jointly and separately. </w:t>
            </w:r>
          </w:p>
        </w:tc>
        <w:tc>
          <w:tcPr>
            <w:tcW w:w="6804" w:type="dxa"/>
            <w:shd w:val="clear" w:color="auto" w:fill="D9F2D0" w:themeFill="accent6" w:themeFillTint="33"/>
          </w:tcPr>
          <w:p w14:paraId="3435EF44" w14:textId="77777777" w:rsidR="00237CE9" w:rsidRPr="00DA1639" w:rsidRDefault="00237CE9" w:rsidP="00895C44">
            <w:pPr>
              <w:spacing w:before="120" w:after="120"/>
              <w:rPr>
                <w:rFonts w:ascii="Verdana" w:hAnsi="Verdana" w:cs="Arial"/>
                <w:sz w:val="19"/>
                <w:szCs w:val="19"/>
              </w:rPr>
            </w:pPr>
            <w:r w:rsidRPr="00DA1639">
              <w:rPr>
                <w:rFonts w:ascii="Verdana" w:hAnsi="Verdana" w:cs="Arial"/>
                <w:sz w:val="19"/>
                <w:szCs w:val="19"/>
              </w:rPr>
              <w:t>New condition to reflect DOC’s Appendix A attached to the S51 Report.</w:t>
            </w:r>
          </w:p>
        </w:tc>
        <w:tc>
          <w:tcPr>
            <w:tcW w:w="6804" w:type="dxa"/>
          </w:tcPr>
          <w:p w14:paraId="1428D694" w14:textId="77777777" w:rsidR="00237CE9" w:rsidRPr="00DA1639" w:rsidRDefault="00237CE9" w:rsidP="00895C44">
            <w:pPr>
              <w:spacing w:before="120" w:after="120"/>
              <w:rPr>
                <w:rFonts w:ascii="Verdana" w:hAnsi="Verdana" w:cs="Arial"/>
                <w:sz w:val="19"/>
                <w:szCs w:val="19"/>
              </w:rPr>
            </w:pPr>
          </w:p>
        </w:tc>
      </w:tr>
    </w:tbl>
    <w:p w14:paraId="479AA62E" w14:textId="77777777" w:rsidR="00237CE9" w:rsidRPr="00DA1639" w:rsidRDefault="00237CE9" w:rsidP="00237CE9">
      <w:pPr>
        <w:rPr>
          <w:rFonts w:ascii="Verdana" w:hAnsi="Verdana" w:cs="Arial"/>
          <w:b/>
          <w:bCs/>
          <w:sz w:val="19"/>
          <w:szCs w:val="19"/>
        </w:rPr>
      </w:pPr>
    </w:p>
    <w:p w14:paraId="12E60476" w14:textId="77777777" w:rsidR="00237CE9" w:rsidRDefault="00237CE9" w:rsidP="00237CE9">
      <w:pPr>
        <w:rPr>
          <w:rFonts w:ascii="Verdana" w:hAnsi="Verdana" w:cs="Arial"/>
          <w:b/>
          <w:bCs/>
          <w:sz w:val="19"/>
          <w:szCs w:val="19"/>
        </w:rPr>
      </w:pPr>
    </w:p>
    <w:p w14:paraId="1D45DCDD" w14:textId="77777777" w:rsidR="00237CE9" w:rsidRPr="002B3180" w:rsidRDefault="00237CE9" w:rsidP="00237CE9">
      <w:pPr>
        <w:rPr>
          <w:rFonts w:ascii="Verdana" w:hAnsi="Verdana" w:cs="Arial"/>
          <w:sz w:val="19"/>
          <w:szCs w:val="19"/>
        </w:rPr>
      </w:pPr>
    </w:p>
    <w:p w14:paraId="1C36D464" w14:textId="77777777" w:rsidR="00237CE9" w:rsidRPr="002B3180" w:rsidRDefault="00237CE9" w:rsidP="00237CE9">
      <w:pPr>
        <w:rPr>
          <w:rFonts w:ascii="Verdana" w:hAnsi="Verdana" w:cs="Arial"/>
          <w:sz w:val="19"/>
          <w:szCs w:val="19"/>
        </w:rPr>
      </w:pPr>
    </w:p>
    <w:p w14:paraId="7E7ECC74" w14:textId="77777777" w:rsidR="00237CE9" w:rsidRPr="002B3180" w:rsidRDefault="00237CE9" w:rsidP="00237CE9">
      <w:pPr>
        <w:rPr>
          <w:rFonts w:ascii="Verdana" w:hAnsi="Verdana" w:cs="Arial"/>
          <w:sz w:val="19"/>
          <w:szCs w:val="19"/>
        </w:rPr>
      </w:pPr>
    </w:p>
    <w:p w14:paraId="61766CF5" w14:textId="77777777" w:rsidR="00237CE9" w:rsidRPr="002B3180" w:rsidRDefault="00237CE9" w:rsidP="00237CE9">
      <w:pPr>
        <w:rPr>
          <w:rFonts w:ascii="Verdana" w:hAnsi="Verdana" w:cs="Arial"/>
          <w:sz w:val="19"/>
          <w:szCs w:val="19"/>
        </w:rPr>
      </w:pPr>
    </w:p>
    <w:p w14:paraId="173EE5B9" w14:textId="77777777" w:rsidR="00237CE9" w:rsidRPr="002B3180" w:rsidRDefault="00237CE9" w:rsidP="00237CE9">
      <w:pPr>
        <w:rPr>
          <w:rFonts w:ascii="Verdana" w:hAnsi="Verdana" w:cs="Arial"/>
          <w:sz w:val="19"/>
          <w:szCs w:val="19"/>
        </w:rPr>
      </w:pPr>
    </w:p>
    <w:p w14:paraId="600DC8C8" w14:textId="77777777" w:rsidR="000C1CDA" w:rsidRDefault="000C1CDA"/>
    <w:sectPr w:rsidR="000C1CDA" w:rsidSect="00237CE9">
      <w:headerReference w:type="even" r:id="rId12"/>
      <w:headerReference w:type="default" r:id="rId13"/>
      <w:footerReference w:type="default" r:id="rId14"/>
      <w:headerReference w:type="first" r:id="rId1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EDA4" w14:textId="77777777" w:rsidR="00957317" w:rsidRDefault="00957317" w:rsidP="003219A5">
      <w:pPr>
        <w:spacing w:after="0" w:line="240" w:lineRule="auto"/>
      </w:pPr>
      <w:r>
        <w:separator/>
      </w:r>
    </w:p>
  </w:endnote>
  <w:endnote w:type="continuationSeparator" w:id="0">
    <w:p w14:paraId="239E8CBD" w14:textId="77777777" w:rsidR="00957317" w:rsidRDefault="00957317" w:rsidP="0032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609039"/>
      <w:docPartObj>
        <w:docPartGallery w:val="Page Numbers (Bottom of Page)"/>
        <w:docPartUnique/>
      </w:docPartObj>
    </w:sdtPr>
    <w:sdtEndPr>
      <w:rPr>
        <w:noProof/>
      </w:rPr>
    </w:sdtEndPr>
    <w:sdtContent>
      <w:p w14:paraId="3F582DFB" w14:textId="23C7BCEA" w:rsidR="00EA3E8E" w:rsidRDefault="00EA3E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82095" w14:textId="77777777" w:rsidR="00EA3E8E" w:rsidRDefault="00EA3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539F" w14:textId="77777777" w:rsidR="00957317" w:rsidRDefault="00957317" w:rsidP="003219A5">
      <w:pPr>
        <w:spacing w:after="0" w:line="240" w:lineRule="auto"/>
      </w:pPr>
      <w:r>
        <w:separator/>
      </w:r>
    </w:p>
  </w:footnote>
  <w:footnote w:type="continuationSeparator" w:id="0">
    <w:p w14:paraId="7C36E186" w14:textId="77777777" w:rsidR="00957317" w:rsidRDefault="00957317" w:rsidP="00321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3588" w14:textId="724CF1F7" w:rsidR="003219A5" w:rsidRDefault="00673B58">
    <w:pPr>
      <w:pStyle w:val="Header"/>
    </w:pPr>
    <w:r>
      <w:rPr>
        <w:noProof/>
      </w:rPr>
      <w:pict w14:anchorId="647ED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9813" o:spid="_x0000_s1026" type="#_x0000_t136" style="position:absolute;margin-left:0;margin-top:0;width:836.4pt;height:147.6pt;rotation:315;z-index:-251655168;mso-position-horizontal:center;mso-position-horizontal-relative:margin;mso-position-vertical:center;mso-position-vertical-relative:margin" o:allowincell="f" fillcolor="silver" stroked="f">
          <v:fill opacity=".5"/>
          <v:textpath style="font-family:&quot;Calibri&quot;;font-size:1pt" string="DRAFT FOR COM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5F2C" w14:textId="6E56E87E" w:rsidR="003219A5" w:rsidRDefault="00673B58">
    <w:pPr>
      <w:pStyle w:val="Header"/>
    </w:pPr>
    <w:r>
      <w:rPr>
        <w:noProof/>
      </w:rPr>
      <w:pict w14:anchorId="435E6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9814" o:spid="_x0000_s1027" type="#_x0000_t136" style="position:absolute;margin-left:0;margin-top:0;width:836.4pt;height:147.6pt;rotation:315;z-index:-251653120;mso-position-horizontal:center;mso-position-horizontal-relative:margin;mso-position-vertical:center;mso-position-vertical-relative:margin" o:allowincell="f" fillcolor="silver" stroked="f">
          <v:fill opacity=".5"/>
          <v:textpath style="font-family:&quot;Calibri&quot;;font-size:1pt" string="DRAFT FOR COMMENT"/>
          <w10:wrap anchorx="margin" anchory="margin"/>
        </v:shape>
      </w:pict>
    </w:r>
    <w:r w:rsidR="003219A5">
      <w:t>DRAFT FOR COMMENT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316D" w14:textId="5FDF1D5C" w:rsidR="003219A5" w:rsidRDefault="00673B58">
    <w:pPr>
      <w:pStyle w:val="Header"/>
    </w:pPr>
    <w:r>
      <w:rPr>
        <w:noProof/>
      </w:rPr>
      <w:pict w14:anchorId="2B4DB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09812" o:spid="_x0000_s1025" type="#_x0000_t136" style="position:absolute;margin-left:0;margin-top:0;width:836.4pt;height:147.6pt;rotation:315;z-index:-251657216;mso-position-horizontal:center;mso-position-horizontal-relative:margin;mso-position-vertical:center;mso-position-vertical-relative:margin" o:allowincell="f" fillcolor="silver" stroked="f">
          <v:fill opacity=".5"/>
          <v:textpath style="font-family:&quot;Calibri&quot;;font-size:1pt" string="DRAFT FOR COM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00DAD"/>
    <w:multiLevelType w:val="hybridMultilevel"/>
    <w:tmpl w:val="E8D0136E"/>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72E75BE4"/>
    <w:multiLevelType w:val="hybridMultilevel"/>
    <w:tmpl w:val="2478667E"/>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rPr>
        <w:i/>
        <w:iCs/>
      </w:r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ACB01CB"/>
    <w:multiLevelType w:val="hybridMultilevel"/>
    <w:tmpl w:val="08CE291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7B0961F8"/>
    <w:multiLevelType w:val="hybridMultilevel"/>
    <w:tmpl w:val="4928E85E"/>
    <w:lvl w:ilvl="0" w:tplc="FFFFFFFF">
      <w:start w:val="1"/>
      <w:numFmt w:val="decimal"/>
      <w:lvlText w:val="%1."/>
      <w:lvlJc w:val="left"/>
      <w:pPr>
        <w:ind w:left="-720" w:hanging="360"/>
      </w:pPr>
    </w:lvl>
    <w:lvl w:ilvl="1" w:tplc="1409001B">
      <w:start w:val="1"/>
      <w:numFmt w:val="lowerRoman"/>
      <w:lvlText w:val="%2."/>
      <w:lvlJc w:val="right"/>
      <w:pPr>
        <w:ind w:left="1080" w:hanging="360"/>
      </w:pPr>
    </w:lvl>
    <w:lvl w:ilvl="2" w:tplc="FFFFFFFF">
      <w:start w:val="1"/>
      <w:numFmt w:val="decimal"/>
      <w:lvlText w:val="%3"/>
      <w:lvlJc w:val="left"/>
      <w:pPr>
        <w:ind w:left="1260" w:hanging="720"/>
      </w:pPr>
      <w:rPr>
        <w:rFonts w:hint="default"/>
      </w:r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num w:numId="1" w16cid:durableId="439380184">
    <w:abstractNumId w:val="2"/>
  </w:num>
  <w:num w:numId="2" w16cid:durableId="1734425032">
    <w:abstractNumId w:val="0"/>
  </w:num>
  <w:num w:numId="3" w16cid:durableId="1074163433">
    <w:abstractNumId w:val="3"/>
  </w:num>
  <w:num w:numId="4" w16cid:durableId="12131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ersionID" w:val="04E73BD9-A248-4931-99ED-1C3316D03B3C"/>
  </w:docVars>
  <w:rsids>
    <w:rsidRoot w:val="00237CE9"/>
    <w:rsid w:val="000B22CC"/>
    <w:rsid w:val="000C0136"/>
    <w:rsid w:val="000C1CDA"/>
    <w:rsid w:val="00132821"/>
    <w:rsid w:val="00144C19"/>
    <w:rsid w:val="001A22B8"/>
    <w:rsid w:val="001C1CDB"/>
    <w:rsid w:val="00236DEA"/>
    <w:rsid w:val="00237CE9"/>
    <w:rsid w:val="00282B66"/>
    <w:rsid w:val="002866F1"/>
    <w:rsid w:val="002A7074"/>
    <w:rsid w:val="003219A5"/>
    <w:rsid w:val="003755C3"/>
    <w:rsid w:val="003B7A67"/>
    <w:rsid w:val="003C64E1"/>
    <w:rsid w:val="004E3675"/>
    <w:rsid w:val="00504D13"/>
    <w:rsid w:val="0057443E"/>
    <w:rsid w:val="00596BCA"/>
    <w:rsid w:val="005A47D6"/>
    <w:rsid w:val="005A74F4"/>
    <w:rsid w:val="005B0163"/>
    <w:rsid w:val="00624986"/>
    <w:rsid w:val="00662826"/>
    <w:rsid w:val="00673B58"/>
    <w:rsid w:val="0072661A"/>
    <w:rsid w:val="00771DD1"/>
    <w:rsid w:val="0079247C"/>
    <w:rsid w:val="007B460C"/>
    <w:rsid w:val="00845D40"/>
    <w:rsid w:val="008B57ED"/>
    <w:rsid w:val="00932ED6"/>
    <w:rsid w:val="00957317"/>
    <w:rsid w:val="009E76E4"/>
    <w:rsid w:val="00B006AC"/>
    <w:rsid w:val="00B23200"/>
    <w:rsid w:val="00BB77A9"/>
    <w:rsid w:val="00BB7FAA"/>
    <w:rsid w:val="00C5196F"/>
    <w:rsid w:val="00D57B34"/>
    <w:rsid w:val="00DA2279"/>
    <w:rsid w:val="00EA3E8E"/>
    <w:rsid w:val="00ED0959"/>
    <w:rsid w:val="00EE13C4"/>
    <w:rsid w:val="00F2397A"/>
    <w:rsid w:val="00F441A4"/>
    <w:rsid w:val="00F50000"/>
    <w:rsid w:val="00F9265F"/>
    <w:rsid w:val="00FF54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7D5BE"/>
  <w15:chartTrackingRefBased/>
  <w15:docId w15:val="{CA667CBC-22CA-4162-955F-925C499E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CE9"/>
  </w:style>
  <w:style w:type="paragraph" w:styleId="Heading1">
    <w:name w:val="heading 1"/>
    <w:basedOn w:val="Normal"/>
    <w:next w:val="Normal"/>
    <w:link w:val="Heading1Char"/>
    <w:uiPriority w:val="9"/>
    <w:qFormat/>
    <w:rsid w:val="00237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CE9"/>
    <w:rPr>
      <w:rFonts w:eastAsiaTheme="majorEastAsia" w:cstheme="majorBidi"/>
      <w:color w:val="272727" w:themeColor="text1" w:themeTint="D8"/>
    </w:rPr>
  </w:style>
  <w:style w:type="paragraph" w:styleId="Title">
    <w:name w:val="Title"/>
    <w:basedOn w:val="Normal"/>
    <w:next w:val="Normal"/>
    <w:link w:val="TitleChar"/>
    <w:uiPriority w:val="10"/>
    <w:qFormat/>
    <w:rsid w:val="00237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CE9"/>
    <w:pPr>
      <w:spacing w:before="160"/>
      <w:jc w:val="center"/>
    </w:pPr>
    <w:rPr>
      <w:i/>
      <w:iCs/>
      <w:color w:val="404040" w:themeColor="text1" w:themeTint="BF"/>
    </w:rPr>
  </w:style>
  <w:style w:type="character" w:customStyle="1" w:styleId="QuoteChar">
    <w:name w:val="Quote Char"/>
    <w:basedOn w:val="DefaultParagraphFont"/>
    <w:link w:val="Quote"/>
    <w:uiPriority w:val="29"/>
    <w:rsid w:val="00237CE9"/>
    <w:rPr>
      <w:i/>
      <w:iCs/>
      <w:color w:val="404040" w:themeColor="text1" w:themeTint="BF"/>
    </w:rPr>
  </w:style>
  <w:style w:type="paragraph" w:styleId="ListParagraph">
    <w:name w:val="List Paragraph"/>
    <w:basedOn w:val="Normal"/>
    <w:link w:val="ListParagraphChar"/>
    <w:uiPriority w:val="1"/>
    <w:qFormat/>
    <w:rsid w:val="00237CE9"/>
    <w:pPr>
      <w:ind w:left="720"/>
      <w:contextualSpacing/>
    </w:pPr>
  </w:style>
  <w:style w:type="character" w:styleId="IntenseEmphasis">
    <w:name w:val="Intense Emphasis"/>
    <w:basedOn w:val="DefaultParagraphFont"/>
    <w:uiPriority w:val="21"/>
    <w:qFormat/>
    <w:rsid w:val="00237CE9"/>
    <w:rPr>
      <w:i/>
      <w:iCs/>
      <w:color w:val="0F4761" w:themeColor="accent1" w:themeShade="BF"/>
    </w:rPr>
  </w:style>
  <w:style w:type="paragraph" w:styleId="IntenseQuote">
    <w:name w:val="Intense Quote"/>
    <w:basedOn w:val="Normal"/>
    <w:next w:val="Normal"/>
    <w:link w:val="IntenseQuoteChar"/>
    <w:uiPriority w:val="30"/>
    <w:qFormat/>
    <w:rsid w:val="00237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CE9"/>
    <w:rPr>
      <w:i/>
      <w:iCs/>
      <w:color w:val="0F4761" w:themeColor="accent1" w:themeShade="BF"/>
    </w:rPr>
  </w:style>
  <w:style w:type="character" w:styleId="IntenseReference">
    <w:name w:val="Intense Reference"/>
    <w:basedOn w:val="DefaultParagraphFont"/>
    <w:uiPriority w:val="32"/>
    <w:qFormat/>
    <w:rsid w:val="00237CE9"/>
    <w:rPr>
      <w:b/>
      <w:bCs/>
      <w:smallCaps/>
      <w:color w:val="0F4761" w:themeColor="accent1" w:themeShade="BF"/>
      <w:spacing w:val="5"/>
    </w:rPr>
  </w:style>
  <w:style w:type="table" w:styleId="TableGrid">
    <w:name w:val="Table Grid"/>
    <w:aliases w:val="TRC Orange Subheading,TRC Table Red"/>
    <w:basedOn w:val="TableNormal"/>
    <w:uiPriority w:val="59"/>
    <w:rsid w:val="0023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7CE9"/>
    <w:rPr>
      <w:color w:val="467886"/>
      <w:u w:val="single"/>
    </w:rPr>
  </w:style>
  <w:style w:type="character" w:customStyle="1" w:styleId="ListParagraphChar">
    <w:name w:val="List Paragraph Char"/>
    <w:basedOn w:val="DefaultParagraphFont"/>
    <w:link w:val="ListParagraph"/>
    <w:uiPriority w:val="1"/>
    <w:locked/>
    <w:rsid w:val="00237CE9"/>
  </w:style>
  <w:style w:type="character" w:styleId="CommentReference">
    <w:name w:val="annotation reference"/>
    <w:basedOn w:val="DefaultParagraphFont"/>
    <w:uiPriority w:val="99"/>
    <w:semiHidden/>
    <w:unhideWhenUsed/>
    <w:rsid w:val="00237CE9"/>
    <w:rPr>
      <w:sz w:val="16"/>
      <w:szCs w:val="16"/>
    </w:rPr>
  </w:style>
  <w:style w:type="paragraph" w:styleId="CommentText">
    <w:name w:val="annotation text"/>
    <w:basedOn w:val="Normal"/>
    <w:link w:val="CommentTextChar"/>
    <w:uiPriority w:val="99"/>
    <w:unhideWhenUsed/>
    <w:rsid w:val="00237CE9"/>
    <w:pPr>
      <w:spacing w:line="240" w:lineRule="auto"/>
    </w:pPr>
    <w:rPr>
      <w:sz w:val="20"/>
      <w:szCs w:val="20"/>
    </w:rPr>
  </w:style>
  <w:style w:type="character" w:customStyle="1" w:styleId="CommentTextChar">
    <w:name w:val="Comment Text Char"/>
    <w:basedOn w:val="DefaultParagraphFont"/>
    <w:link w:val="CommentText"/>
    <w:uiPriority w:val="99"/>
    <w:rsid w:val="00237CE9"/>
    <w:rPr>
      <w:sz w:val="20"/>
      <w:szCs w:val="20"/>
    </w:rPr>
  </w:style>
  <w:style w:type="paragraph" w:styleId="NormalWeb">
    <w:name w:val="Normal (Web)"/>
    <w:basedOn w:val="Normal"/>
    <w:uiPriority w:val="99"/>
    <w:unhideWhenUsed/>
    <w:rsid w:val="00237CE9"/>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styleId="Revision">
    <w:name w:val="Revision"/>
    <w:hidden/>
    <w:uiPriority w:val="99"/>
    <w:semiHidden/>
    <w:rsid w:val="002866F1"/>
    <w:pPr>
      <w:spacing w:after="0" w:line="240" w:lineRule="auto"/>
    </w:pPr>
  </w:style>
  <w:style w:type="paragraph" w:styleId="Header">
    <w:name w:val="header"/>
    <w:basedOn w:val="Normal"/>
    <w:link w:val="HeaderChar"/>
    <w:uiPriority w:val="99"/>
    <w:unhideWhenUsed/>
    <w:rsid w:val="003219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9A5"/>
  </w:style>
  <w:style w:type="paragraph" w:styleId="Footer">
    <w:name w:val="footer"/>
    <w:basedOn w:val="Normal"/>
    <w:link w:val="FooterChar"/>
    <w:uiPriority w:val="99"/>
    <w:unhideWhenUsed/>
    <w:rsid w:val="003219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govt.nz/our-work/biodiversity-inventory-and-monitoring/herpetofauna/"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missionshamilton@doc.gove.n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haanui@doc.govt.nz"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mahaanui@doc.govt.n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FTAA-2505-1057</FastTrackAppID>
    <FastTrackAppTitle xmlns="3f9f7acc-4d99-40e6-b6e9-12f826063963">Pound Road Industrial Development</FastTrackAppTitle>
    <FastTrackActs xmlns="3f9f7acc-4d99-40e6-b6e9-12f826063963">
      <Value>The Wildlife Act 1953</Value>
      <Value>Resource Management Act 1991</Value>
    </FastTrackActs>
    <FastTrackTopic xmlns="3f9f7acc-4d99-40e6-b6e9-12f826063963" xsi:nil="true"/>
    <TaxCatchAll xmlns="d9c6f299-dc7c-49c5-a3f7-54d1288b5f35" xsi:nil="true"/>
    <_dlc_DocId xmlns="5ae100dd-7238-47d4-864c-a888c323434e">EPANZ-1167831518-71074</_dlc_DocId>
    <_dlc_DocIdUrl xmlns="5ae100dd-7238-47d4-864c-a888c323434e">
      <Url>https://epaintune.sharepoint.com/sites/EPA/_layouts/15/DocIdRedir.aspx?ID=EPANZ-1167831518-71074</Url>
      <Description>EPANZ-1167831518-71074</Description>
    </_dlc_DocIdUrl>
  </documentManagement>
</p:properties>
</file>

<file path=customXml/itemProps1.xml><?xml version="1.0" encoding="utf-8"?>
<ds:datastoreItem xmlns:ds="http://schemas.openxmlformats.org/officeDocument/2006/customXml" ds:itemID="{E85AFF9D-45B1-4515-8838-278477566DB9}">
  <ds:schemaRefs>
    <ds:schemaRef ds:uri="http://schemas.openxmlformats.org/officeDocument/2006/bibliography"/>
  </ds:schemaRefs>
</ds:datastoreItem>
</file>

<file path=customXml/itemProps2.xml><?xml version="1.0" encoding="utf-8"?>
<ds:datastoreItem xmlns:ds="http://schemas.openxmlformats.org/officeDocument/2006/customXml" ds:itemID="{7B9E2304-F413-4AD7-8CAF-D128AD29B9DF}"/>
</file>

<file path=customXml/itemProps3.xml><?xml version="1.0" encoding="utf-8"?>
<ds:datastoreItem xmlns:ds="http://schemas.openxmlformats.org/officeDocument/2006/customXml" ds:itemID="{CDE76E22-B8AA-4563-8B5D-5642DD91AF8D}"/>
</file>

<file path=customXml/itemProps4.xml><?xml version="1.0" encoding="utf-8"?>
<ds:datastoreItem xmlns:ds="http://schemas.openxmlformats.org/officeDocument/2006/customXml" ds:itemID="{E649DDA6-5A33-4263-BDA9-FB4A84E5C97B}"/>
</file>

<file path=customXml/itemProps5.xml><?xml version="1.0" encoding="utf-8"?>
<ds:datastoreItem xmlns:ds="http://schemas.openxmlformats.org/officeDocument/2006/customXml" ds:itemID="{976662C5-6C6D-4837-BB23-A27BBD21D255}"/>
</file>

<file path=docProps/app.xml><?xml version="1.0" encoding="utf-8"?>
<Properties xmlns="http://schemas.openxmlformats.org/officeDocument/2006/extended-properties" xmlns:vt="http://schemas.openxmlformats.org/officeDocument/2006/docPropsVTypes">
  <Template>Normal</Template>
  <TotalTime>5</TotalTime>
  <Pages>4</Pages>
  <Words>1282</Words>
  <Characters>7005</Characters>
  <Application>Microsoft Office Word</Application>
  <DocSecurity>0</DocSecurity>
  <Lines>250</Lines>
  <Paragraphs>109</Paragraphs>
  <ScaleCrop>false</ScaleCrop>
  <Company/>
  <LinksUpToDate>false</LinksUpToDate>
  <CharactersWithSpaces>8178</CharactersWithSpaces>
  <SharedDoc>false</SharedDoc>
  <HyperlinkBase>CPT-608524-2-410-1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Dines | Dines Consulting</dc:creator>
  <cp:keywords/>
  <dc:description>App_C_Wildlife_Draft_Conditions_Table</dc:description>
  <cp:lastModifiedBy>Chris Thomsen</cp:lastModifiedBy>
  <cp:revision>11</cp:revision>
  <dcterms:created xsi:type="dcterms:W3CDTF">2026-03-13T00:04:00Z</dcterms:created>
  <dcterms:modified xsi:type="dcterms:W3CDTF">2026-03-16T08:50:00Z</dcterms:modified>
  <cp:category>CPT-608524-2-410-1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_dlc_DocIdItemGuid">
    <vt:lpwstr>4c5f1b02-5f96-4823-a13b-724c246db5ce</vt:lpwstr>
  </property>
  <property fmtid="{D5CDD505-2E9C-101B-9397-08002B2CF9AE}" pid="4" name="MediaServiceImageTags">
    <vt:lpwstr/>
  </property>
</Properties>
</file>