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AC7B" w14:textId="6F2F82B6" w:rsidR="00495D95" w:rsidRPr="00893013" w:rsidRDefault="001D6E2F" w:rsidP="00495D95">
      <w:pPr>
        <w:rPr>
          <w:b/>
          <w:bCs/>
          <w:u w:val="single"/>
        </w:rPr>
      </w:pPr>
      <w:r w:rsidRPr="00893013">
        <w:rPr>
          <w:b/>
          <w:bCs/>
          <w:u w:val="single"/>
        </w:rPr>
        <w:t xml:space="preserve">Example for the proposed approach for compensation </w:t>
      </w:r>
      <w:r w:rsidR="00893013" w:rsidRPr="00893013">
        <w:rPr>
          <w:b/>
          <w:bCs/>
          <w:u w:val="single"/>
        </w:rPr>
        <w:t>related to the potential effect of bird strike</w:t>
      </w:r>
      <w:r w:rsidR="00893013">
        <w:rPr>
          <w:b/>
          <w:bCs/>
          <w:u w:val="single"/>
        </w:rPr>
        <w:t xml:space="preserve"> </w:t>
      </w:r>
    </w:p>
    <w:p w14:paraId="0D772E0E" w14:textId="3911D7EB" w:rsidR="001D0522" w:rsidRPr="001D0522" w:rsidRDefault="001D0522" w:rsidP="001D0522">
      <w:pPr>
        <w:rPr>
          <w:u w:val="single"/>
        </w:rPr>
      </w:pPr>
      <w:r w:rsidRPr="001D0522">
        <w:rPr>
          <w:u w:val="single"/>
        </w:rPr>
        <w:t xml:space="preserve">Example for kaki mortality </w:t>
      </w:r>
    </w:p>
    <w:p w14:paraId="5F523D3E" w14:textId="4E1B6ED1" w:rsidR="001D0522" w:rsidRDefault="001D0522" w:rsidP="001D0522">
      <w:r>
        <w:t>Assumptions: Kaki population of 150, searching efficiency of 60%, carcass persistence 80%, area searched 100% (whole farm or wider?).</w:t>
      </w:r>
    </w:p>
    <w:p w14:paraId="3E136E80" w14:textId="77777777" w:rsidR="00F0649A" w:rsidRDefault="009A6491" w:rsidP="00495D95">
      <w:r>
        <w:t>Scenario</w:t>
      </w:r>
      <w:r w:rsidR="00F0649A">
        <w:t>s</w:t>
      </w:r>
      <w:r>
        <w:t xml:space="preserve">: </w:t>
      </w:r>
      <w:r w:rsidR="00D566E1">
        <w:t xml:space="preserve"> </w:t>
      </w:r>
    </w:p>
    <w:p w14:paraId="19B33CC5" w14:textId="34E8DC35" w:rsidR="009A6491" w:rsidRDefault="00F0649A" w:rsidP="00495D95">
      <w:r>
        <w:t xml:space="preserve">1. </w:t>
      </w:r>
      <w:r w:rsidR="00F02F11">
        <w:t>Low</w:t>
      </w:r>
      <w:r w:rsidR="00B50AF9">
        <w:t xml:space="preserve">; </w:t>
      </w:r>
      <w:r w:rsidR="00D566E1">
        <w:t>Annual solar-farm induced mortality of kaki of 1 bird / year.</w:t>
      </w:r>
      <w:r w:rsidR="003B0144">
        <w:t xml:space="preserve"> = 0.67</w:t>
      </w:r>
      <w:r w:rsidR="000452A7">
        <w:t>% of population</w:t>
      </w:r>
      <w:r w:rsidR="0022520D">
        <w:t xml:space="preserve"> per year. 35 year consent = </w:t>
      </w:r>
      <w:r w:rsidR="00515B45">
        <w:t>35</w:t>
      </w:r>
      <w:r w:rsidR="0022520D">
        <w:t xml:space="preserve"> adult birds</w:t>
      </w:r>
      <w:r w:rsidR="00515B45">
        <w:t xml:space="preserve"> for consent duration</w:t>
      </w:r>
      <w:r w:rsidR="003323ED">
        <w:t xml:space="preserve"> (35 years)</w:t>
      </w:r>
      <w:r w:rsidR="00515B45">
        <w:t>.</w:t>
      </w:r>
    </w:p>
    <w:p w14:paraId="64C6BBE4" w14:textId="17070D19" w:rsidR="00F0649A" w:rsidRDefault="00F0649A" w:rsidP="00495D95">
      <w:r>
        <w:t xml:space="preserve">2. </w:t>
      </w:r>
      <w:r w:rsidR="00B50AF9">
        <w:t xml:space="preserve">Mod; </w:t>
      </w:r>
      <w:r w:rsidR="00B272AF">
        <w:t>2 birds / year.</w:t>
      </w:r>
      <w:r w:rsidR="000452A7">
        <w:t xml:space="preserve"> = 1.33% of population</w:t>
      </w:r>
      <w:r w:rsidR="0022520D">
        <w:t xml:space="preserve"> per year = </w:t>
      </w:r>
      <w:r w:rsidR="00364645">
        <w:t>70 adult birds for consent duration.</w:t>
      </w:r>
    </w:p>
    <w:p w14:paraId="25A62D98" w14:textId="597E1184" w:rsidR="0086553D" w:rsidRDefault="00F0649A" w:rsidP="00495D95">
      <w:r>
        <w:t>3.</w:t>
      </w:r>
      <w:r w:rsidR="00B272AF" w:rsidRPr="00B272AF">
        <w:t xml:space="preserve"> </w:t>
      </w:r>
      <w:r w:rsidR="00B50AF9">
        <w:t xml:space="preserve">High; </w:t>
      </w:r>
      <w:r w:rsidR="00B272AF">
        <w:t>3 birds / year.</w:t>
      </w:r>
      <w:r w:rsidR="000452A7">
        <w:t xml:space="preserve"> = 2.67% of population</w:t>
      </w:r>
      <w:r w:rsidR="00515B45">
        <w:t xml:space="preserve"> </w:t>
      </w:r>
      <w:r w:rsidR="00841C35">
        <w:t>= 105</w:t>
      </w:r>
      <w:r w:rsidR="00515B45">
        <w:t xml:space="preserve"> adult birds for consent duration.</w:t>
      </w:r>
    </w:p>
    <w:p w14:paraId="6490AE79" w14:textId="234860A6" w:rsidR="00B272AF" w:rsidRDefault="00B272AF" w:rsidP="00495D95">
      <w:r>
        <w:t xml:space="preserve">This means that 1 observed kaki is considered to indicate c.2 birds </w:t>
      </w:r>
      <w:proofErr w:type="gramStart"/>
      <w:r w:rsidR="00841C35">
        <w:t>actually killed</w:t>
      </w:r>
      <w:proofErr w:type="gramEnd"/>
      <w:r>
        <w:t xml:space="preserve"> (1 </w:t>
      </w:r>
      <w:r w:rsidR="00F02F11">
        <w:t>/ 0.6 /0.8 = 2.08).</w:t>
      </w:r>
    </w:p>
    <w:p w14:paraId="52422E95" w14:textId="31001159" w:rsidR="00E246E9" w:rsidRDefault="00B06BF4" w:rsidP="00495D95">
      <w:pPr>
        <w:rPr>
          <w:b/>
          <w:bCs/>
        </w:rPr>
      </w:pPr>
      <w:r>
        <w:rPr>
          <w:b/>
          <w:bCs/>
        </w:rPr>
        <w:t xml:space="preserve">PVA </w:t>
      </w:r>
      <w:r w:rsidR="009F4CD0">
        <w:rPr>
          <w:b/>
          <w:bCs/>
        </w:rPr>
        <w:t xml:space="preserve">- </w:t>
      </w:r>
      <w:r w:rsidR="009F4CD0" w:rsidRPr="009F4CD0">
        <w:rPr>
          <w:b/>
          <w:bCs/>
          <w:i/>
          <w:iCs/>
        </w:rPr>
        <w:t>Population Viability Analyses</w:t>
      </w:r>
    </w:p>
    <w:p w14:paraId="358E3AE2" w14:textId="705EAC47" w:rsidR="00581DB6" w:rsidRPr="00581DB6" w:rsidRDefault="00B06BF4" w:rsidP="00581DB6">
      <w:r w:rsidRPr="00581DB6">
        <w:t xml:space="preserve">Proposal </w:t>
      </w:r>
      <w:r w:rsidR="00581DB6" w:rsidRPr="00581DB6">
        <w:t>has following inputs:</w:t>
      </w:r>
    </w:p>
    <w:p w14:paraId="2C75B9C2" w14:textId="77777777" w:rsidR="00581DB6" w:rsidRPr="00581DB6" w:rsidRDefault="00581DB6" w:rsidP="00581DB6">
      <w:pPr>
        <w:numPr>
          <w:ilvl w:val="0"/>
          <w:numId w:val="4"/>
        </w:numPr>
      </w:pPr>
      <w:r w:rsidRPr="00581DB6">
        <w:t xml:space="preserve">Individual life spans and ages. </w:t>
      </w:r>
    </w:p>
    <w:p w14:paraId="3B641028" w14:textId="77777777" w:rsidR="00581DB6" w:rsidRPr="00581DB6" w:rsidRDefault="00581DB6" w:rsidP="00581DB6">
      <w:pPr>
        <w:numPr>
          <w:ilvl w:val="0"/>
          <w:numId w:val="4"/>
        </w:numPr>
      </w:pPr>
      <w:r w:rsidRPr="00581DB6">
        <w:t xml:space="preserve">Fecundity. </w:t>
      </w:r>
    </w:p>
    <w:p w14:paraId="08CCAFB8" w14:textId="77777777" w:rsidR="00581DB6" w:rsidRPr="00581DB6" w:rsidRDefault="00581DB6" w:rsidP="00581DB6">
      <w:pPr>
        <w:numPr>
          <w:ilvl w:val="0"/>
          <w:numId w:val="4"/>
        </w:numPr>
      </w:pPr>
      <w:r w:rsidRPr="00581DB6">
        <w:t xml:space="preserve">Population sex ratio. </w:t>
      </w:r>
    </w:p>
    <w:p w14:paraId="2F7DC983" w14:textId="77777777" w:rsidR="00581DB6" w:rsidRPr="00581DB6" w:rsidRDefault="00581DB6" w:rsidP="00581DB6">
      <w:pPr>
        <w:numPr>
          <w:ilvl w:val="0"/>
          <w:numId w:val="4"/>
        </w:numPr>
      </w:pPr>
      <w:r w:rsidRPr="00581DB6">
        <w:t xml:space="preserve">Population size. </w:t>
      </w:r>
    </w:p>
    <w:p w14:paraId="5FE54833" w14:textId="2CD160D4" w:rsidR="00581DB6" w:rsidRDefault="0069637F" w:rsidP="00495D95">
      <w:r>
        <w:t>I am unsure how these are factored into the equation.</w:t>
      </w:r>
    </w:p>
    <w:p w14:paraId="7E54E6A4" w14:textId="5119B80D" w:rsidR="0069637F" w:rsidRDefault="008B28E1" w:rsidP="00495D95">
      <w:r>
        <w:t>However,</w:t>
      </w:r>
      <w:r w:rsidR="0069637F">
        <w:t xml:space="preserve"> a basic </w:t>
      </w:r>
      <w:r w:rsidR="001603ED">
        <w:t>scenario calculation with a baseline population of 150 birds with a growth rate of 2%</w:t>
      </w:r>
      <w:r w:rsidR="005765A0">
        <w:t xml:space="preserve"> would result in a stagnant population or decline if 3 birds a year are </w:t>
      </w:r>
      <w:r>
        <w:t>killed – see spreadsheet working.</w:t>
      </w:r>
    </w:p>
    <w:p w14:paraId="375494B8" w14:textId="77777777" w:rsidR="00790275" w:rsidRDefault="008B28E1" w:rsidP="00495D95">
      <w:r>
        <w:t>This found that with</w:t>
      </w:r>
      <w:r w:rsidR="002C31DA">
        <w:t xml:space="preserve"> no birds killed (baseline) we might expect the kaki population to </w:t>
      </w:r>
      <w:r w:rsidR="00A27E88">
        <w:t>increase to 300 birds without any bird strike loss. This assumes</w:t>
      </w:r>
      <w:r w:rsidR="00790275">
        <w:t xml:space="preserve"> </w:t>
      </w:r>
      <w:proofErr w:type="spellStart"/>
      <w:r w:rsidR="00790275" w:rsidRPr="00790275">
        <w:t>assumes</w:t>
      </w:r>
      <w:proofErr w:type="spellEnd"/>
      <w:r w:rsidR="00790275" w:rsidRPr="00790275">
        <w:t xml:space="preserve"> intensive recovery management continues, including predator control, captive-rearing/release, habitat protection, and breeding-site management.</w:t>
      </w:r>
      <w:r w:rsidR="00A27E88">
        <w:t xml:space="preserve"> </w:t>
      </w:r>
      <w:r>
        <w:t xml:space="preserve"> </w:t>
      </w:r>
    </w:p>
    <w:p w14:paraId="503F903C" w14:textId="4178E719" w:rsidR="008B28E1" w:rsidRPr="00581DB6" w:rsidRDefault="00790275" w:rsidP="00495D95">
      <w:r>
        <w:t>One</w:t>
      </w:r>
      <w:r w:rsidR="008B28E1">
        <w:t xml:space="preserve"> killed </w:t>
      </w:r>
      <w:r>
        <w:t xml:space="preserve">bird </w:t>
      </w:r>
      <w:r w:rsidR="008B28E1">
        <w:t>per year</w:t>
      </w:r>
      <w:r>
        <w:t xml:space="preserve"> during </w:t>
      </w:r>
      <w:r w:rsidR="008B28E1">
        <w:t xml:space="preserve">the 35 year </w:t>
      </w:r>
      <w:r w:rsidR="0065203F">
        <w:t xml:space="preserve">timespan would equate to </w:t>
      </w:r>
      <w:r w:rsidR="0065203F" w:rsidRPr="00956688">
        <w:rPr>
          <w:b/>
          <w:bCs/>
        </w:rPr>
        <w:t>50</w:t>
      </w:r>
      <w:r w:rsidR="0065203F">
        <w:t xml:space="preserve"> fewer </w:t>
      </w:r>
      <w:proofErr w:type="gramStart"/>
      <w:r w:rsidR="0065203F">
        <w:t>kaki</w:t>
      </w:r>
      <w:proofErr w:type="gramEnd"/>
      <w:r w:rsidR="0065203F">
        <w:t xml:space="preserve"> in the population</w:t>
      </w:r>
      <w:r w:rsidR="007C541D">
        <w:t xml:space="preserve"> that would </w:t>
      </w:r>
      <w:r>
        <w:t>consequently number</w:t>
      </w:r>
      <w:r w:rsidR="007C541D">
        <w:t xml:space="preserve"> </w:t>
      </w:r>
      <w:r w:rsidR="002C31DA">
        <w:t>248 birds</w:t>
      </w:r>
      <w:r w:rsidR="0065203F">
        <w:t xml:space="preserve">. Two killed per year </w:t>
      </w:r>
      <w:r w:rsidR="007C541D">
        <w:t xml:space="preserve">results in a population reduction of </w:t>
      </w:r>
      <w:r w:rsidR="007C541D" w:rsidRPr="00956688">
        <w:rPr>
          <w:b/>
          <w:bCs/>
        </w:rPr>
        <w:t xml:space="preserve">101 </w:t>
      </w:r>
      <w:r w:rsidR="007C541D">
        <w:t xml:space="preserve">birds, and 3 birds killed per year reduces the expected population by year 35 by </w:t>
      </w:r>
      <w:r w:rsidR="007C541D" w:rsidRPr="00956688">
        <w:rPr>
          <w:b/>
          <w:bCs/>
        </w:rPr>
        <w:t>150</w:t>
      </w:r>
      <w:r w:rsidR="007C541D">
        <w:t xml:space="preserve"> birds.</w:t>
      </w:r>
    </w:p>
    <w:p w14:paraId="1AEE3AA2" w14:textId="77777777" w:rsidR="00DD4614" w:rsidRDefault="0024541D" w:rsidP="00495D95">
      <w:r>
        <w:lastRenderedPageBreak/>
        <w:t xml:space="preserve">A compensation target </w:t>
      </w:r>
      <w:r w:rsidR="00830A65">
        <w:t xml:space="preserve">should </w:t>
      </w:r>
      <w:r w:rsidR="00495D95" w:rsidRPr="00495D95">
        <w:t xml:space="preserve">return the </w:t>
      </w:r>
      <w:proofErr w:type="spellStart"/>
      <w:r w:rsidR="00495D95" w:rsidRPr="00495D95">
        <w:t>kakī</w:t>
      </w:r>
      <w:proofErr w:type="spellEnd"/>
      <w:r w:rsidR="00495D95" w:rsidRPr="00495D95">
        <w:t xml:space="preserve"> PVA trajectory to at least the no-solar-mortality baseline</w:t>
      </w:r>
      <w:r w:rsidR="00DD4614">
        <w:t xml:space="preserve">. </w:t>
      </w:r>
      <w:r w:rsidR="00830A65">
        <w:t xml:space="preserve"> </w:t>
      </w:r>
    </w:p>
    <w:p w14:paraId="2A4E7C4E" w14:textId="649A6728" w:rsidR="00495D95" w:rsidRDefault="00DD4614" w:rsidP="00495D95">
      <w:r>
        <w:t>An uncertainty and delay multiplier might also be warranted.</w:t>
      </w:r>
    </w:p>
    <w:p w14:paraId="49F12DA8" w14:textId="6B87E109" w:rsidR="00DD4614" w:rsidRDefault="00F154B2" w:rsidP="00495D95">
      <w:r>
        <w:t>So,</w:t>
      </w:r>
      <w:r w:rsidR="00B4007A">
        <w:t xml:space="preserve"> if 2 birds per year</w:t>
      </w:r>
      <w:r w:rsidR="00956688">
        <w:t xml:space="preserve"> multiplied by 1.</w:t>
      </w:r>
      <w:r w:rsidR="00351D95">
        <w:t>5</w:t>
      </w:r>
      <w:r w:rsidR="00956688">
        <w:t xml:space="preserve"> (?) = 101 x 1.</w:t>
      </w:r>
      <w:r>
        <w:t>5</w:t>
      </w:r>
      <w:r w:rsidR="00956688">
        <w:t xml:space="preserve"> = </w:t>
      </w:r>
      <w:r w:rsidR="00494FDB">
        <w:t>1</w:t>
      </w:r>
      <w:r w:rsidR="00351D95">
        <w:t>52</w:t>
      </w:r>
      <w:r w:rsidR="00494FDB">
        <w:t xml:space="preserve"> adult-equivalent compensation target.</w:t>
      </w:r>
    </w:p>
    <w:p w14:paraId="51A41709" w14:textId="77777777" w:rsidR="00F154B2" w:rsidRDefault="00F154B2" w:rsidP="00495D95"/>
    <w:p w14:paraId="3AB1C5DA" w14:textId="52BC5DEB" w:rsidR="00F154B2" w:rsidRPr="001F5615" w:rsidRDefault="00F154B2" w:rsidP="002F7B45">
      <w:pPr>
        <w:pStyle w:val="ListParagraph"/>
        <w:numPr>
          <w:ilvl w:val="0"/>
          <w:numId w:val="5"/>
        </w:numPr>
        <w:rPr>
          <w:b/>
          <w:bCs/>
        </w:rPr>
      </w:pPr>
      <w:r w:rsidRPr="001F5615">
        <w:rPr>
          <w:b/>
          <w:bCs/>
        </w:rPr>
        <w:t xml:space="preserve">How in practice might compensation deliver 152 adult </w:t>
      </w:r>
      <w:proofErr w:type="gramStart"/>
      <w:r w:rsidRPr="001F5615">
        <w:rPr>
          <w:b/>
          <w:bCs/>
        </w:rPr>
        <w:t>kaki</w:t>
      </w:r>
      <w:proofErr w:type="gramEnd"/>
      <w:r w:rsidR="001F5615">
        <w:rPr>
          <w:b/>
          <w:bCs/>
        </w:rPr>
        <w:t xml:space="preserve"> within the consented timeframe</w:t>
      </w:r>
      <w:r w:rsidRPr="001F5615">
        <w:rPr>
          <w:b/>
          <w:bCs/>
        </w:rPr>
        <w:t>?</w:t>
      </w:r>
    </w:p>
    <w:p w14:paraId="540E92D5" w14:textId="77777777" w:rsidR="00F154B2" w:rsidRDefault="00F154B2" w:rsidP="00495D95"/>
    <w:p w14:paraId="3D72049B" w14:textId="0FE1794D" w:rsidR="00495D95" w:rsidRPr="00F154B2" w:rsidRDefault="00495D95" w:rsidP="00495D95">
      <w:pPr>
        <w:rPr>
          <w:u w:val="single"/>
        </w:rPr>
      </w:pPr>
      <w:r w:rsidRPr="00F154B2">
        <w:rPr>
          <w:u w:val="single"/>
        </w:rPr>
        <w:t xml:space="preserve">Potential </w:t>
      </w:r>
      <w:r w:rsidR="001F5615">
        <w:rPr>
          <w:u w:val="single"/>
        </w:rPr>
        <w:t>actions</w:t>
      </w:r>
      <w:r w:rsidRPr="00F154B2">
        <w:rPr>
          <w:u w:val="single"/>
        </w:rPr>
        <w:t xml:space="preserve"> could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4670"/>
      </w:tblGrid>
      <w:tr w:rsidR="00495D95" w:rsidRPr="00495D95" w14:paraId="74051A6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277112" w14:textId="77777777" w:rsidR="00495D95" w:rsidRPr="00495D95" w:rsidRDefault="00495D95" w:rsidP="00495D95">
            <w:pPr>
              <w:rPr>
                <w:b/>
                <w:bCs/>
              </w:rPr>
            </w:pPr>
            <w:r w:rsidRPr="00495D95">
              <w:rPr>
                <w:b/>
                <w:bCs/>
              </w:rPr>
              <w:t>Compensation action</w:t>
            </w:r>
          </w:p>
        </w:tc>
        <w:tc>
          <w:tcPr>
            <w:tcW w:w="0" w:type="auto"/>
            <w:vAlign w:val="center"/>
            <w:hideMark/>
          </w:tcPr>
          <w:p w14:paraId="3629934F" w14:textId="0902BCE3" w:rsidR="00495D95" w:rsidRPr="00495D95" w:rsidRDefault="00495D95" w:rsidP="00495D95">
            <w:pPr>
              <w:rPr>
                <w:b/>
                <w:bCs/>
              </w:rPr>
            </w:pPr>
            <w:r w:rsidRPr="00495D95">
              <w:rPr>
                <w:b/>
                <w:bCs/>
              </w:rPr>
              <w:t xml:space="preserve">Direct </w:t>
            </w:r>
            <w:r w:rsidR="003C17E3">
              <w:rPr>
                <w:b/>
                <w:bCs/>
              </w:rPr>
              <w:t>bird-</w:t>
            </w:r>
            <w:r w:rsidRPr="00495D95">
              <w:rPr>
                <w:b/>
                <w:bCs/>
              </w:rPr>
              <w:t>demographic pathway</w:t>
            </w:r>
            <w:r w:rsidR="003C17E3">
              <w:rPr>
                <w:b/>
                <w:bCs/>
              </w:rPr>
              <w:t xml:space="preserve"> that would benefit</w:t>
            </w:r>
          </w:p>
        </w:tc>
      </w:tr>
      <w:tr w:rsidR="00495D95" w:rsidRPr="00495D95" w14:paraId="70BC69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215E5" w14:textId="77777777" w:rsidR="00495D95" w:rsidRPr="00495D95" w:rsidRDefault="00495D95" w:rsidP="00495D95">
            <w:r w:rsidRPr="00495D95">
              <w:t>Predator control around breeding and feeding areas</w:t>
            </w:r>
          </w:p>
        </w:tc>
        <w:tc>
          <w:tcPr>
            <w:tcW w:w="0" w:type="auto"/>
            <w:vAlign w:val="center"/>
            <w:hideMark/>
          </w:tcPr>
          <w:p w14:paraId="509EA212" w14:textId="77777777" w:rsidR="00495D95" w:rsidRPr="00495D95" w:rsidRDefault="00495D95" w:rsidP="00495D95">
            <w:r w:rsidRPr="00495D95">
              <w:t>Increases egg, chick, juvenile, and adult survival</w:t>
            </w:r>
          </w:p>
        </w:tc>
      </w:tr>
      <w:tr w:rsidR="00495D95" w:rsidRPr="00495D95" w14:paraId="59A9F7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51B64" w14:textId="77777777" w:rsidR="00495D95" w:rsidRPr="00495D95" w:rsidRDefault="00495D95" w:rsidP="00495D95">
            <w:r w:rsidRPr="00495D95">
              <w:t>Nest protection / nest guarding</w:t>
            </w:r>
          </w:p>
        </w:tc>
        <w:tc>
          <w:tcPr>
            <w:tcW w:w="0" w:type="auto"/>
            <w:vAlign w:val="center"/>
            <w:hideMark/>
          </w:tcPr>
          <w:p w14:paraId="4FC87E81" w14:textId="77777777" w:rsidR="00495D95" w:rsidRPr="00495D95" w:rsidRDefault="00495D95" w:rsidP="00495D95">
            <w:r w:rsidRPr="00495D95">
              <w:t>Increases hatching and fledging success</w:t>
            </w:r>
          </w:p>
        </w:tc>
      </w:tr>
      <w:tr w:rsidR="00495D95" w:rsidRPr="00495D95" w14:paraId="644559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68B0D" w14:textId="77777777" w:rsidR="00495D95" w:rsidRPr="00495D95" w:rsidRDefault="00495D95" w:rsidP="00495D95">
            <w:r w:rsidRPr="00495D95">
              <w:t>Wetland and braided-river habitat protection</w:t>
            </w:r>
          </w:p>
        </w:tc>
        <w:tc>
          <w:tcPr>
            <w:tcW w:w="0" w:type="auto"/>
            <w:vAlign w:val="center"/>
            <w:hideMark/>
          </w:tcPr>
          <w:p w14:paraId="26C164D0" w14:textId="77777777" w:rsidR="00495D95" w:rsidRPr="00495D95" w:rsidRDefault="00495D95" w:rsidP="00495D95">
            <w:r w:rsidRPr="00495D95">
              <w:t>Increases available breeding/feeding habitat</w:t>
            </w:r>
          </w:p>
        </w:tc>
      </w:tr>
      <w:tr w:rsidR="00495D95" w:rsidRPr="00495D95" w14:paraId="7D4572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39617" w14:textId="77777777" w:rsidR="00495D95" w:rsidRPr="00495D95" w:rsidRDefault="00495D95" w:rsidP="00495D95">
            <w:r w:rsidRPr="00495D95">
              <w:t>Support for captive-rearing and release</w:t>
            </w:r>
          </w:p>
        </w:tc>
        <w:tc>
          <w:tcPr>
            <w:tcW w:w="0" w:type="auto"/>
            <w:vAlign w:val="center"/>
            <w:hideMark/>
          </w:tcPr>
          <w:p w14:paraId="7A21C9BE" w14:textId="77777777" w:rsidR="00495D95" w:rsidRPr="00495D95" w:rsidRDefault="00495D95" w:rsidP="00495D95">
            <w:r w:rsidRPr="00495D95">
              <w:t>Increases juvenile recruitment</w:t>
            </w:r>
          </w:p>
        </w:tc>
      </w:tr>
      <w:tr w:rsidR="00495D95" w:rsidRPr="00495D95" w14:paraId="55C253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ABCC9" w14:textId="77777777" w:rsidR="00495D95" w:rsidRPr="00495D95" w:rsidRDefault="00495D95" w:rsidP="00495D95">
            <w:r w:rsidRPr="00495D95">
              <w:t>Control of hybridisation risk where relevant</w:t>
            </w:r>
          </w:p>
        </w:tc>
        <w:tc>
          <w:tcPr>
            <w:tcW w:w="0" w:type="auto"/>
            <w:vAlign w:val="center"/>
            <w:hideMark/>
          </w:tcPr>
          <w:p w14:paraId="0A395D70" w14:textId="77777777" w:rsidR="00495D95" w:rsidRPr="00495D95" w:rsidRDefault="00495D95" w:rsidP="00495D95">
            <w:r w:rsidRPr="00495D95">
              <w:t>Maintains genetic integrity</w:t>
            </w:r>
          </w:p>
        </w:tc>
      </w:tr>
      <w:tr w:rsidR="00495D95" w:rsidRPr="00495D95" w14:paraId="2EAA4B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0959E" w14:textId="77777777" w:rsidR="00495D95" w:rsidRPr="00495D95" w:rsidRDefault="00495D95" w:rsidP="00495D95">
            <w:r w:rsidRPr="00495D95">
              <w:t>Disturbance reduction around breeding sites</w:t>
            </w:r>
          </w:p>
        </w:tc>
        <w:tc>
          <w:tcPr>
            <w:tcW w:w="0" w:type="auto"/>
            <w:vAlign w:val="center"/>
            <w:hideMark/>
          </w:tcPr>
          <w:p w14:paraId="0078A04D" w14:textId="77777777" w:rsidR="00495D95" w:rsidRPr="00495D95" w:rsidRDefault="00495D95" w:rsidP="00495D95">
            <w:r w:rsidRPr="00495D95">
              <w:t>Improves breeding success</w:t>
            </w:r>
          </w:p>
        </w:tc>
      </w:tr>
      <w:tr w:rsidR="00495D95" w:rsidRPr="00495D95" w14:paraId="2FC642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0D55C" w14:textId="77777777" w:rsidR="00495D95" w:rsidRPr="00495D95" w:rsidRDefault="00495D95" w:rsidP="00495D95">
            <w:r w:rsidRPr="00495D95">
              <w:t>Hydrological or habitat management</w:t>
            </w:r>
          </w:p>
        </w:tc>
        <w:tc>
          <w:tcPr>
            <w:tcW w:w="0" w:type="auto"/>
            <w:vAlign w:val="center"/>
            <w:hideMark/>
          </w:tcPr>
          <w:p w14:paraId="44A602CD" w14:textId="77777777" w:rsidR="00495D95" w:rsidRPr="00495D95" w:rsidRDefault="00495D95" w:rsidP="00495D95">
            <w:r w:rsidRPr="00495D95">
              <w:t>Maintains suitable foraging and nesting conditions</w:t>
            </w:r>
          </w:p>
        </w:tc>
      </w:tr>
    </w:tbl>
    <w:p w14:paraId="1E4FF423" w14:textId="77777777" w:rsidR="00CE596F" w:rsidRDefault="00CE596F" w:rsidP="00495D95"/>
    <w:p w14:paraId="7D1EA88F" w14:textId="77777777" w:rsidR="00CE596F" w:rsidRDefault="00CE596F">
      <w:r>
        <w:br w:type="page"/>
      </w:r>
    </w:p>
    <w:p w14:paraId="379E96AC" w14:textId="3025C040" w:rsidR="00495D95" w:rsidRPr="00CE596F" w:rsidRDefault="00CE596F" w:rsidP="00495D95">
      <w:pPr>
        <w:rPr>
          <w:u w:val="single"/>
        </w:rPr>
      </w:pPr>
      <w:r w:rsidRPr="00CE596F">
        <w:rPr>
          <w:u w:val="single"/>
        </w:rPr>
        <w:lastRenderedPageBreak/>
        <w:t>Number of kaki expected / possible from those management interventions:</w:t>
      </w:r>
    </w:p>
    <w:p w14:paraId="5A071E52" w14:textId="7146472F" w:rsidR="00495D95" w:rsidRPr="00495D95" w:rsidRDefault="00495D95" w:rsidP="00495D9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6136"/>
      </w:tblGrid>
      <w:tr w:rsidR="00495D95" w:rsidRPr="00495D95" w14:paraId="0A6AAB3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2327D3" w14:textId="77777777" w:rsidR="00495D95" w:rsidRPr="00495D95" w:rsidRDefault="00495D95" w:rsidP="00495D95">
            <w:pPr>
              <w:rPr>
                <w:b/>
                <w:bCs/>
              </w:rPr>
            </w:pPr>
            <w:r w:rsidRPr="00495D95">
              <w:rPr>
                <w:b/>
                <w:bCs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05BBA30C" w14:textId="5395583B" w:rsidR="00495D95" w:rsidRPr="00495D95" w:rsidRDefault="00495D95" w:rsidP="00495D95">
            <w:pPr>
              <w:rPr>
                <w:b/>
                <w:bCs/>
              </w:rPr>
            </w:pPr>
            <w:r w:rsidRPr="00495D95">
              <w:rPr>
                <w:b/>
                <w:bCs/>
              </w:rPr>
              <w:t>Expected benefit</w:t>
            </w:r>
            <w:r w:rsidR="00DC3C8F">
              <w:rPr>
                <w:b/>
                <w:bCs/>
              </w:rPr>
              <w:t xml:space="preserve"> </w:t>
            </w:r>
            <w:r w:rsidR="00DC3C8F" w:rsidRPr="0019383B">
              <w:rPr>
                <w:b/>
                <w:bCs/>
                <w:highlight w:val="yellow"/>
              </w:rPr>
              <w:t>(</w:t>
            </w:r>
            <w:r w:rsidR="0019383B" w:rsidRPr="0019383B">
              <w:rPr>
                <w:b/>
                <w:bCs/>
                <w:highlight w:val="yellow"/>
              </w:rPr>
              <w:t>? Requires</w:t>
            </w:r>
            <w:r w:rsidR="0019383B">
              <w:rPr>
                <w:b/>
                <w:bCs/>
                <w:highlight w:val="yellow"/>
              </w:rPr>
              <w:t xml:space="preserve"> kaki</w:t>
            </w:r>
            <w:r w:rsidR="0019383B" w:rsidRPr="0019383B">
              <w:rPr>
                <w:b/>
                <w:bCs/>
                <w:highlight w:val="yellow"/>
              </w:rPr>
              <w:t xml:space="preserve"> experts</w:t>
            </w:r>
            <w:r w:rsidR="0019383B">
              <w:rPr>
                <w:b/>
                <w:bCs/>
                <w:highlight w:val="yellow"/>
              </w:rPr>
              <w:t>/real data</w:t>
            </w:r>
            <w:r w:rsidR="0019383B" w:rsidRPr="0019383B">
              <w:rPr>
                <w:b/>
                <w:bCs/>
                <w:highlight w:val="yellow"/>
              </w:rPr>
              <w:t xml:space="preserve"> to confirm these estimates</w:t>
            </w:r>
            <w:r w:rsidR="003C17E3">
              <w:rPr>
                <w:b/>
                <w:bCs/>
                <w:highlight w:val="yellow"/>
              </w:rPr>
              <w:t xml:space="preserve"> – Readily available from DOC</w:t>
            </w:r>
            <w:r w:rsidR="0019383B" w:rsidRPr="0019383B">
              <w:rPr>
                <w:b/>
                <w:bCs/>
                <w:highlight w:val="yellow"/>
              </w:rPr>
              <w:t>)</w:t>
            </w:r>
          </w:p>
        </w:tc>
      </w:tr>
      <w:tr w:rsidR="00495D95" w:rsidRPr="00495D95" w14:paraId="24476E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77576" w14:textId="77777777" w:rsidR="00495D95" w:rsidRPr="00495D95" w:rsidRDefault="00495D95" w:rsidP="00495D95">
            <w:r w:rsidRPr="00495D95">
              <w:t>Predator control across key breeding habitat</w:t>
            </w:r>
          </w:p>
        </w:tc>
        <w:tc>
          <w:tcPr>
            <w:tcW w:w="0" w:type="auto"/>
            <w:vAlign w:val="center"/>
            <w:hideMark/>
          </w:tcPr>
          <w:p w14:paraId="1FA1FBD9" w14:textId="59F92BD8" w:rsidR="00495D95" w:rsidRPr="00495D95" w:rsidRDefault="00495D95" w:rsidP="00495D95">
            <w:r w:rsidRPr="00495D95">
              <w:t>3 additional fledglings/year</w:t>
            </w:r>
          </w:p>
        </w:tc>
      </w:tr>
      <w:tr w:rsidR="00495D95" w:rsidRPr="00495D95" w14:paraId="646A6B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14736" w14:textId="77777777" w:rsidR="00495D95" w:rsidRPr="00495D95" w:rsidRDefault="00495D95" w:rsidP="00495D95">
            <w:r w:rsidRPr="00495D95">
              <w:t>Nest protection at priority breeding sites</w:t>
            </w:r>
          </w:p>
        </w:tc>
        <w:tc>
          <w:tcPr>
            <w:tcW w:w="0" w:type="auto"/>
            <w:vAlign w:val="center"/>
            <w:hideMark/>
          </w:tcPr>
          <w:p w14:paraId="25F5DEA0" w14:textId="44E6813F" w:rsidR="00495D95" w:rsidRPr="00495D95" w:rsidRDefault="00495D95" w:rsidP="00495D95">
            <w:r w:rsidRPr="00495D95">
              <w:t>4 additional fledglings/year</w:t>
            </w:r>
          </w:p>
        </w:tc>
      </w:tr>
      <w:tr w:rsidR="00495D95" w:rsidRPr="00495D95" w14:paraId="0C65DD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F83E1" w14:textId="77777777" w:rsidR="00495D95" w:rsidRPr="00495D95" w:rsidRDefault="00495D95" w:rsidP="00495D95">
            <w:r w:rsidRPr="00495D95">
              <w:t>Additional captive-rearing support</w:t>
            </w:r>
          </w:p>
        </w:tc>
        <w:tc>
          <w:tcPr>
            <w:tcW w:w="0" w:type="auto"/>
            <w:vAlign w:val="center"/>
            <w:hideMark/>
          </w:tcPr>
          <w:p w14:paraId="3F932E59" w14:textId="77777777" w:rsidR="00495D95" w:rsidRPr="00495D95" w:rsidRDefault="00495D95" w:rsidP="00495D95">
            <w:r w:rsidRPr="00495D95">
              <w:t>8 additional released juveniles/year</w:t>
            </w:r>
          </w:p>
        </w:tc>
      </w:tr>
      <w:tr w:rsidR="00495D95" w:rsidRPr="00495D95" w14:paraId="77ACC2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E86A9" w14:textId="541857A0" w:rsidR="00495D95" w:rsidRPr="00495D95" w:rsidRDefault="00495D95" w:rsidP="00495D95">
            <w:r w:rsidRPr="00495D95">
              <w:t>Habitat enhancement / wetland restoration</w:t>
            </w:r>
          </w:p>
        </w:tc>
        <w:tc>
          <w:tcPr>
            <w:tcW w:w="0" w:type="auto"/>
            <w:vAlign w:val="center"/>
            <w:hideMark/>
          </w:tcPr>
          <w:p w14:paraId="6BB0C61A" w14:textId="77777777" w:rsidR="00495D95" w:rsidRPr="00495D95" w:rsidRDefault="00495D95" w:rsidP="00495D95">
            <w:r w:rsidRPr="00495D95">
              <w:t>2 additional fledglings/year</w:t>
            </w:r>
          </w:p>
        </w:tc>
      </w:tr>
      <w:tr w:rsidR="00495D95" w:rsidRPr="00495D95" w14:paraId="0C4210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F55D1" w14:textId="334D1990" w:rsidR="00495D95" w:rsidRPr="00495D95" w:rsidRDefault="00495D95" w:rsidP="00495D95">
            <w:r w:rsidRPr="00495D95">
              <w:t>Total juvenile-stage gain</w:t>
            </w:r>
            <w:r w:rsidR="00CE596F">
              <w:t>:</w:t>
            </w:r>
          </w:p>
        </w:tc>
        <w:tc>
          <w:tcPr>
            <w:tcW w:w="0" w:type="auto"/>
            <w:vAlign w:val="center"/>
            <w:hideMark/>
          </w:tcPr>
          <w:p w14:paraId="7C4C0AAA" w14:textId="77777777" w:rsidR="00495D95" w:rsidRPr="00CE596F" w:rsidRDefault="00495D95" w:rsidP="00495D95">
            <w:pPr>
              <w:rPr>
                <w:b/>
                <w:bCs/>
              </w:rPr>
            </w:pPr>
            <w:r w:rsidRPr="00CE596F">
              <w:rPr>
                <w:b/>
                <w:bCs/>
              </w:rPr>
              <w:t>17 juveniles/year</w:t>
            </w:r>
          </w:p>
        </w:tc>
      </w:tr>
    </w:tbl>
    <w:p w14:paraId="5D7FB1F9" w14:textId="1149D3EC" w:rsidR="00495D95" w:rsidRPr="00495D95" w:rsidRDefault="00CE596F" w:rsidP="00495D95">
      <w:r>
        <w:t>C</w:t>
      </w:r>
      <w:r w:rsidR="00495D95" w:rsidRPr="00495D95">
        <w:t>onvert</w:t>
      </w:r>
      <w:r>
        <w:t>ed</w:t>
      </w:r>
      <w:r w:rsidR="00495D95" w:rsidRPr="00495D95">
        <w:t xml:space="preserve"> to adult-equivalent recruits</w:t>
      </w:r>
      <w:r>
        <w:t>:</w:t>
      </w:r>
    </w:p>
    <w:p w14:paraId="06DB957F" w14:textId="52302444" w:rsidR="00495D95" w:rsidRPr="00495D95" w:rsidRDefault="00495D95" w:rsidP="00495D95">
      <w:r w:rsidRPr="00495D95">
        <w:t>Assum</w:t>
      </w:r>
      <w:r w:rsidR="00CE596F">
        <w:t>ing</w:t>
      </w:r>
      <w:r w:rsidRPr="00495D95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1"/>
        <w:gridCol w:w="687"/>
      </w:tblGrid>
      <w:tr w:rsidR="00495D95" w:rsidRPr="00495D95" w14:paraId="027031C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02DC2A" w14:textId="77777777" w:rsidR="00495D95" w:rsidRPr="00495D95" w:rsidRDefault="00495D95" w:rsidP="00495D95">
            <w:pPr>
              <w:rPr>
                <w:b/>
                <w:bCs/>
              </w:rPr>
            </w:pPr>
            <w:r w:rsidRPr="00495D95">
              <w:rPr>
                <w:b/>
                <w:bCs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55C5057B" w14:textId="77777777" w:rsidR="00495D95" w:rsidRPr="00495D95" w:rsidRDefault="00495D95" w:rsidP="00495D95">
            <w:pPr>
              <w:rPr>
                <w:b/>
                <w:bCs/>
              </w:rPr>
            </w:pPr>
            <w:r w:rsidRPr="00495D95">
              <w:rPr>
                <w:b/>
                <w:bCs/>
              </w:rPr>
              <w:t>Value</w:t>
            </w:r>
          </w:p>
        </w:tc>
      </w:tr>
      <w:tr w:rsidR="00495D95" w:rsidRPr="00495D95" w14:paraId="745603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35174" w14:textId="77777777" w:rsidR="00495D95" w:rsidRPr="00495D95" w:rsidRDefault="00495D95" w:rsidP="00495D95">
            <w:r w:rsidRPr="00495D95">
              <w:t>Additional juveniles/fledglings per year</w:t>
            </w:r>
          </w:p>
        </w:tc>
        <w:tc>
          <w:tcPr>
            <w:tcW w:w="0" w:type="auto"/>
            <w:vAlign w:val="center"/>
            <w:hideMark/>
          </w:tcPr>
          <w:p w14:paraId="3CC889AA" w14:textId="77777777" w:rsidR="00495D95" w:rsidRPr="00495D95" w:rsidRDefault="00495D95" w:rsidP="00495D95">
            <w:r w:rsidRPr="00495D95">
              <w:t>17</w:t>
            </w:r>
          </w:p>
        </w:tc>
      </w:tr>
      <w:tr w:rsidR="00495D95" w:rsidRPr="00495D95" w14:paraId="42ED86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11AF3" w14:textId="77777777" w:rsidR="00495D95" w:rsidRPr="00495D95" w:rsidRDefault="00495D95" w:rsidP="00495D95">
            <w:r w:rsidRPr="00495D95">
              <w:t>Survival to breeding adult</w:t>
            </w:r>
          </w:p>
        </w:tc>
        <w:tc>
          <w:tcPr>
            <w:tcW w:w="0" w:type="auto"/>
            <w:vAlign w:val="center"/>
            <w:hideMark/>
          </w:tcPr>
          <w:p w14:paraId="30D3A855" w14:textId="77777777" w:rsidR="00495D95" w:rsidRPr="00495D95" w:rsidRDefault="00495D95" w:rsidP="00495D95">
            <w:r w:rsidRPr="00495D95">
              <w:t>35%</w:t>
            </w:r>
          </w:p>
        </w:tc>
      </w:tr>
      <w:tr w:rsidR="00495D95" w:rsidRPr="00495D95" w14:paraId="0A9743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8948C" w14:textId="77777777" w:rsidR="00495D95" w:rsidRPr="00495D95" w:rsidRDefault="00495D95" w:rsidP="00495D95">
            <w:r w:rsidRPr="00495D95">
              <w:t>Adult-equivalent recruits per year</w:t>
            </w:r>
          </w:p>
        </w:tc>
        <w:tc>
          <w:tcPr>
            <w:tcW w:w="0" w:type="auto"/>
            <w:vAlign w:val="center"/>
            <w:hideMark/>
          </w:tcPr>
          <w:p w14:paraId="547794E0" w14:textId="77777777" w:rsidR="00495D95" w:rsidRPr="00495D95" w:rsidRDefault="00495D95" w:rsidP="00495D95">
            <w:r w:rsidRPr="00495D95">
              <w:t>5.95</w:t>
            </w:r>
          </w:p>
        </w:tc>
      </w:tr>
    </w:tbl>
    <w:p w14:paraId="67FD7FFE" w14:textId="77777777" w:rsidR="00495D95" w:rsidRPr="00495D95" w:rsidRDefault="00495D95" w:rsidP="00495D95">
      <w:r w:rsidRPr="00495D95">
        <w:t>Over 35 years:</w:t>
      </w:r>
    </w:p>
    <w:p w14:paraId="032414C2" w14:textId="77777777" w:rsidR="00495D95" w:rsidRPr="00495D95" w:rsidRDefault="00495D95" w:rsidP="00495D95">
      <w:r w:rsidRPr="00495D95">
        <w:t xml:space="preserve">5.95 × 35 = </w:t>
      </w:r>
      <w:r w:rsidRPr="00495D95">
        <w:rPr>
          <w:b/>
          <w:bCs/>
        </w:rPr>
        <w:t xml:space="preserve">208 adult-equivalent </w:t>
      </w:r>
      <w:proofErr w:type="spellStart"/>
      <w:r w:rsidRPr="00495D95">
        <w:rPr>
          <w:b/>
          <w:bCs/>
        </w:rPr>
        <w:t>kakī</w:t>
      </w:r>
      <w:proofErr w:type="spellEnd"/>
    </w:p>
    <w:p w14:paraId="3B968456" w14:textId="77777777" w:rsidR="00CD3C86" w:rsidRDefault="00CD3C86"/>
    <w:p w14:paraId="0420B071" w14:textId="05A24DFC" w:rsidR="00BF6941" w:rsidRDefault="00BF6941"/>
    <w:sectPr w:rsidR="00BF6941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B3A1" w14:textId="77777777" w:rsidR="006052FF" w:rsidRDefault="006052FF" w:rsidP="00495D95">
      <w:pPr>
        <w:spacing w:after="0" w:line="240" w:lineRule="auto"/>
      </w:pPr>
      <w:r>
        <w:separator/>
      </w:r>
    </w:p>
  </w:endnote>
  <w:endnote w:type="continuationSeparator" w:id="0">
    <w:p w14:paraId="25AF6E0E" w14:textId="77777777" w:rsidR="006052FF" w:rsidRDefault="006052FF" w:rsidP="0049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0F9F" w14:textId="3B566BE9" w:rsidR="00495D95" w:rsidRDefault="00495D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769A44" wp14:editId="1E78E7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8200" cy="370205"/>
              <wp:effectExtent l="0" t="0" r="0" b="0"/>
              <wp:wrapNone/>
              <wp:docPr id="912004407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3A3F3" w14:textId="56759A6F" w:rsidR="00495D95" w:rsidRPr="00495D95" w:rsidRDefault="00495D95" w:rsidP="00495D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95D95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69A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66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" filled="f" stroked="f">
              <v:textbox style="mso-fit-shape-to-text:t" inset="0,0,0,15pt">
                <w:txbxContent>
                  <w:p w14:paraId="72C3A3F3" w14:textId="56759A6F" w:rsidR="00495D95" w:rsidRPr="00495D95" w:rsidRDefault="00495D95" w:rsidP="00495D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495D95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0D61" w14:textId="15D62C3B" w:rsidR="00495D95" w:rsidRDefault="00495D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6B95D2" wp14:editId="2B23BBC8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8200" cy="370205"/>
              <wp:effectExtent l="0" t="0" r="0" b="0"/>
              <wp:wrapNone/>
              <wp:docPr id="1129177079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A3E81" w14:textId="200C9C6E" w:rsidR="00495D95" w:rsidRPr="00495D95" w:rsidRDefault="00495D95" w:rsidP="00495D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95D95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B95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66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" filled="f" stroked="f">
              <v:textbox style="mso-fit-shape-to-text:t" inset="0,0,0,15pt">
                <w:txbxContent>
                  <w:p w14:paraId="2C0A3E81" w14:textId="200C9C6E" w:rsidR="00495D95" w:rsidRPr="00495D95" w:rsidRDefault="00495D95" w:rsidP="00495D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495D95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5F28" w14:textId="0A8C684A" w:rsidR="00495D95" w:rsidRDefault="00495D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89A431" wp14:editId="665A66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8200" cy="370205"/>
              <wp:effectExtent l="0" t="0" r="0" b="0"/>
              <wp:wrapNone/>
              <wp:docPr id="343815564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B87A8" w14:textId="249009A1" w:rsidR="00495D95" w:rsidRPr="00495D95" w:rsidRDefault="00495D95" w:rsidP="00495D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95D95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9A4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" style="position:absolute;margin-left:0;margin-top:0;width:66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" filled="f" stroked="f">
              <v:textbox style="mso-fit-shape-to-text:t" inset="0,0,0,15pt">
                <w:txbxContent>
                  <w:p w14:paraId="38FB87A8" w14:textId="249009A1" w:rsidR="00495D95" w:rsidRPr="00495D95" w:rsidRDefault="00495D95" w:rsidP="00495D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495D95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C49F" w14:textId="77777777" w:rsidR="006052FF" w:rsidRDefault="006052FF" w:rsidP="00495D95">
      <w:pPr>
        <w:spacing w:after="0" w:line="240" w:lineRule="auto"/>
      </w:pPr>
      <w:r>
        <w:separator/>
      </w:r>
    </w:p>
  </w:footnote>
  <w:footnote w:type="continuationSeparator" w:id="0">
    <w:p w14:paraId="7BD6B866" w14:textId="77777777" w:rsidR="006052FF" w:rsidRDefault="006052FF" w:rsidP="00495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C5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4514DC"/>
    <w:multiLevelType w:val="multilevel"/>
    <w:tmpl w:val="D432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5330A"/>
    <w:multiLevelType w:val="multilevel"/>
    <w:tmpl w:val="8356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957E40"/>
    <w:multiLevelType w:val="hybridMultilevel"/>
    <w:tmpl w:val="7B82AE36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C39DC"/>
    <w:multiLevelType w:val="multilevel"/>
    <w:tmpl w:val="C17E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6795737">
    <w:abstractNumId w:val="1"/>
  </w:num>
  <w:num w:numId="2" w16cid:durableId="1804691697">
    <w:abstractNumId w:val="4"/>
  </w:num>
  <w:num w:numId="3" w16cid:durableId="1409111175">
    <w:abstractNumId w:val="2"/>
  </w:num>
  <w:num w:numId="4" w16cid:durableId="379747927">
    <w:abstractNumId w:val="0"/>
  </w:num>
  <w:num w:numId="5" w16cid:durableId="164171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A6"/>
    <w:rsid w:val="000452A7"/>
    <w:rsid w:val="000B2C11"/>
    <w:rsid w:val="00100780"/>
    <w:rsid w:val="00102F70"/>
    <w:rsid w:val="001603ED"/>
    <w:rsid w:val="0019383B"/>
    <w:rsid w:val="001B63F1"/>
    <w:rsid w:val="001D0522"/>
    <w:rsid w:val="001D6E2F"/>
    <w:rsid w:val="001F5615"/>
    <w:rsid w:val="0022520D"/>
    <w:rsid w:val="0024541D"/>
    <w:rsid w:val="002C31DA"/>
    <w:rsid w:val="002F7B45"/>
    <w:rsid w:val="003323ED"/>
    <w:rsid w:val="00351D95"/>
    <w:rsid w:val="00364645"/>
    <w:rsid w:val="00396289"/>
    <w:rsid w:val="003B0144"/>
    <w:rsid w:val="003C17E3"/>
    <w:rsid w:val="004940F9"/>
    <w:rsid w:val="00494FDB"/>
    <w:rsid w:val="00495D95"/>
    <w:rsid w:val="004E0710"/>
    <w:rsid w:val="00515B45"/>
    <w:rsid w:val="005765A0"/>
    <w:rsid w:val="00581DB6"/>
    <w:rsid w:val="005F27A6"/>
    <w:rsid w:val="006052FF"/>
    <w:rsid w:val="0065203F"/>
    <w:rsid w:val="0069637F"/>
    <w:rsid w:val="00774D7D"/>
    <w:rsid w:val="00790275"/>
    <w:rsid w:val="007C541D"/>
    <w:rsid w:val="00830A65"/>
    <w:rsid w:val="00841C35"/>
    <w:rsid w:val="0086553D"/>
    <w:rsid w:val="00893013"/>
    <w:rsid w:val="008B28E1"/>
    <w:rsid w:val="009022AB"/>
    <w:rsid w:val="00933A10"/>
    <w:rsid w:val="009522CA"/>
    <w:rsid w:val="00956688"/>
    <w:rsid w:val="009A6491"/>
    <w:rsid w:val="009F4CD0"/>
    <w:rsid w:val="00A27E88"/>
    <w:rsid w:val="00AF7C89"/>
    <w:rsid w:val="00B06BF4"/>
    <w:rsid w:val="00B272AF"/>
    <w:rsid w:val="00B4007A"/>
    <w:rsid w:val="00B47902"/>
    <w:rsid w:val="00B50AF9"/>
    <w:rsid w:val="00B6434B"/>
    <w:rsid w:val="00BF6941"/>
    <w:rsid w:val="00CD3C86"/>
    <w:rsid w:val="00CE596F"/>
    <w:rsid w:val="00D566E1"/>
    <w:rsid w:val="00DC3C8F"/>
    <w:rsid w:val="00DD4614"/>
    <w:rsid w:val="00E246E9"/>
    <w:rsid w:val="00F02F11"/>
    <w:rsid w:val="00F0649A"/>
    <w:rsid w:val="00F154B2"/>
    <w:rsid w:val="00F4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42AB4"/>
  <w15:chartTrackingRefBased/>
  <w15:docId w15:val="{A6DB6581-594E-4F22-A0DB-34823AC3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53D"/>
  </w:style>
  <w:style w:type="paragraph" w:styleId="Heading1">
    <w:name w:val="heading 1"/>
    <w:basedOn w:val="Normal"/>
    <w:next w:val="Normal"/>
    <w:link w:val="Heading1Char"/>
    <w:uiPriority w:val="9"/>
    <w:qFormat/>
    <w:rsid w:val="005F2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7A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9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D95"/>
  </w:style>
  <w:style w:type="character" w:styleId="Hyperlink">
    <w:name w:val="Hyperlink"/>
    <w:basedOn w:val="DefaultParagraphFont"/>
    <w:uiPriority w:val="99"/>
    <w:unhideWhenUsed/>
    <w:rsid w:val="00495D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astTrack Document" ma:contentTypeID="0x010100E106A414AAFDB04FBE306619CD48353E002F0A2382F357314CA07B1E1FA9C121DE" ma:contentTypeVersion="28" ma:contentTypeDescription="" ma:contentTypeScope="" ma:versionID="479e827f6f4ac05514c7f9fd7ecbc975">
  <xsd:schema xmlns:xsd="http://www.w3.org/2001/XMLSchema" xmlns:xs="http://www.w3.org/2001/XMLSchema" xmlns:p="http://schemas.microsoft.com/office/2006/metadata/properties" xmlns:ns1="http://schemas.microsoft.com/sharepoint/v3" xmlns:ns2="3f9f7acc-4d99-40e6-b6e9-12f826063963" xmlns:ns3="5ae100dd-7238-47d4-864c-a888c323434e" xmlns:ns4="2deeec1d-cb6f-4242-aff8-c2598d059fcc" xmlns:ns5="d9c6f299-dc7c-49c5-a3f7-54d1288b5f35" targetNamespace="http://schemas.microsoft.com/office/2006/metadata/properties" ma:root="true" ma:fieldsID="9d1da27b16978719c3418010fda63282" ns1:_="" ns2:_="" ns3:_="" ns4:_="" ns5:_="">
    <xsd:import namespace="http://schemas.microsoft.com/sharepoint/v3"/>
    <xsd:import namespace="3f9f7acc-4d99-40e6-b6e9-12f826063963"/>
    <xsd:import namespace="5ae100dd-7238-47d4-864c-a888c323434e"/>
    <xsd:import namespace="2deeec1d-cb6f-4242-aff8-c2598d059fcc"/>
    <xsd:import namespace="d9c6f299-dc7c-49c5-a3f7-54d1288b5f35"/>
    <xsd:element name="properties">
      <xsd:complexType>
        <xsd:sequence>
          <xsd:element name="documentManagement">
            <xsd:complexType>
              <xsd:all>
                <xsd:element ref="ns2:FastTrackTopic" minOccurs="0"/>
                <xsd:element ref="ns2:FastTrackWebPage" minOccurs="0"/>
                <xsd:element ref="ns2:PRA" minOccurs="0"/>
                <xsd:element ref="ns2:FastTrackAppID" minOccurs="0"/>
                <xsd:element ref="ns2:FastTrackAppTitle" minOccurs="0"/>
                <xsd:element ref="ns2:FastTrackAppType" minOccurs="0"/>
                <xsd:element ref="ns1:Company" minOccurs="0"/>
                <xsd:element ref="ns2:FastTrackActs" minOccurs="0"/>
                <xsd:element ref="ns3:_dlc_DocIdPersistId" minOccurs="0"/>
                <xsd:element ref="ns3:_dlc_DocId" minOccurs="0"/>
                <xsd:element ref="ns3:_dlc_DocIdUr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date" minOccurs="0"/>
                <xsd:element ref="ns4:MediaLengthInSecond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8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f7acc-4d99-40e6-b6e9-12f826063963" elementFormDefault="qualified">
    <xsd:import namespace="http://schemas.microsoft.com/office/2006/documentManagement/types"/>
    <xsd:import namespace="http://schemas.microsoft.com/office/infopath/2007/PartnerControls"/>
    <xsd:element name="FastTrackTopic" ma:index="2" nillable="true" ma:displayName="Fast Track Topic" ma:format="Dropdown" ma:internalName="FastTrackTopic">
      <xsd:simpleType>
        <xsd:restriction base="dms:Choice">
          <xsd:enumeration value="Contract Management"/>
          <xsd:enumeration value="Project Planning"/>
          <xsd:enumeration value="Close Out"/>
          <xsd:enumeration value="Applicant Communication"/>
          <xsd:enumeration value="Redacted Application Documents"/>
          <xsd:enumeration value="Media and General Communications"/>
          <xsd:enumeration value="Local Authority Communication"/>
          <xsd:enumeration value="Application Documents"/>
          <xsd:enumeration value="Complete Assessment"/>
          <xsd:enumeration value="Government Agency Communication"/>
          <xsd:enumeration value="Expert Panel Communication"/>
          <xsd:enumeration value="Media and General Communications"/>
          <xsd:enumeration value="Identification of Parties"/>
          <xsd:enumeration value="Comments from Parties"/>
          <xsd:enumeration value="Process Updates"/>
          <xsd:enumeration value="Invitation for Comment"/>
          <xsd:enumeration value="Local Authority Communication"/>
          <xsd:enumeration value="Government Agency Communication"/>
          <xsd:enumeration value="Expert Panel Communication"/>
          <xsd:enumeration value="Applicant Communication"/>
          <xsd:enumeration value="unsolicited communication"/>
          <xsd:enumeration value="Contractor Payments"/>
          <xsd:enumeration value="Cost Objections"/>
          <xsd:enumeration value="Project Finance"/>
          <xsd:enumeration value="Expert Panel Payments"/>
          <xsd:enumeration value="Applicant Cost Recovery"/>
          <xsd:enumeration value="Other Payments"/>
          <xsd:enumeration value="Internal Communication"/>
          <xsd:enumeration value="Local Authority Communication"/>
          <xsd:enumeration value="Further Information Requests"/>
          <xsd:enumeration value="Draft Application"/>
          <xsd:enumeration value="Applicant Communication"/>
          <xsd:enumeration value="Government Agency Communication"/>
          <xsd:enumeration value="Final Decision"/>
          <xsd:enumeration value="Applicant Communication"/>
          <xsd:enumeration value="Expert Panel Communication"/>
          <xsd:enumeration value="Draft Conditions"/>
          <xsd:enumeration value="Decision Release"/>
          <xsd:enumeration value="Draft Decision"/>
          <xsd:enumeration value="Resource consent, designation and certificate of compliance"/>
          <xsd:enumeration value="Media and General Communications"/>
          <xsd:enumeration value="Communication with Parties"/>
          <xsd:enumeration value="EPA Advice"/>
          <xsd:enumeration value="Local Authority Advice"/>
          <xsd:enumeration value="Decision and Appeal"/>
          <xsd:enumeration value="Reports and Advice"/>
          <xsd:enumeration value="Panel Correspondence"/>
          <xsd:enumeration value="Invited Comments"/>
          <xsd:enumeration value="Redacted Application Documents"/>
          <xsd:enumeration value="Government Agency Communication"/>
          <xsd:enumeration value="Applicant Communication"/>
          <xsd:enumeration value="Communication with Parties"/>
          <xsd:enumeration value="Local Authority Communication"/>
          <xsd:enumeration value="Expert Panel Communication"/>
          <xsd:enumeration value="Applicant Communication"/>
          <xsd:enumeration value="Further Information Requests"/>
          <xsd:enumeration value="Local Authority Communication"/>
          <xsd:enumeration value="Communication with Parties"/>
          <xsd:enumeration value="Government Agency Communication"/>
          <xsd:enumeration value="Expert reports and advice"/>
          <xsd:enumeration value="Local Authority Report and Advice"/>
          <xsd:enumeration value="Expert Panel Communication"/>
          <xsd:enumeration value="Applicant Communication"/>
          <xsd:enumeration value="Expert Panel Communication"/>
          <xsd:enumeration value="Communication with Parties"/>
          <xsd:enumeration value="Media and General Communications"/>
          <xsd:enumeration value="Iwi Authority Communication"/>
          <xsd:enumeration value="Appointments"/>
          <xsd:enumeration value="COI Register"/>
          <xsd:enumeration value="Register of Commissioners"/>
          <xsd:enumeration value="Local Authority Communication"/>
          <xsd:enumeration value="Convener Communication"/>
          <xsd:enumeration value="Government Agency Communication"/>
          <xsd:enumeration value="Pre-Hearing"/>
          <xsd:enumeration value="Media and General Communications"/>
          <xsd:enumeration value="Evidence"/>
          <xsd:enumeration value="Documents Presented at Hearing"/>
          <xsd:enumeration value="Applicant Communication"/>
          <xsd:enumeration value="Contractor Communication"/>
          <xsd:enumeration value="Government Agency Communication"/>
          <xsd:enumeration value="Hearing Operations"/>
          <xsd:enumeration value="Hearing Schedule"/>
          <xsd:enumeration value="Transcript and Recordings and Proceedings"/>
          <xsd:enumeration value="Internal Communication"/>
          <xsd:enumeration value="Communication with Parties"/>
          <xsd:enumeration value="Internal Communication"/>
          <xsd:enumeration value="Appeals"/>
          <xsd:enumeration value="Communication with Parties"/>
          <xsd:enumeration value="Applicant Communication"/>
          <xsd:enumeration value="Local Authority Communication"/>
          <xsd:enumeration value="Media and General Communications"/>
          <xsd:enumeration value="COI Register"/>
          <xsd:enumeration value="Travel and Accommodation"/>
          <xsd:enumeration value="Expert Panel Issued Documents"/>
          <xsd:enumeration value="Government Agency Communication"/>
          <xsd:enumeration value="Meetings"/>
          <xsd:enumeration value="Administration"/>
          <xsd:enumeration value="Applicant"/>
          <xsd:enumeration value="Panel Members"/>
          <xsd:enumeration value="Contractor Communication"/>
          <xsd:enumeration value="Local Authority Communication"/>
          <xsd:enumeration value="Expert Panel Communication"/>
          <xsd:enumeration value="Internal Communication"/>
          <xsd:enumeration value="Applicant Communication"/>
          <xsd:enumeration value="Communication with Parties"/>
          <xsd:enumeration value="Evidence"/>
          <xsd:enumeration value="Hearing Planning"/>
        </xsd:restriction>
      </xsd:simpleType>
    </xsd:element>
    <xsd:element name="FastTrackWebPage" ma:index="3" nillable="true" ma:displayName="Fast Track Web Page" ma:format="Dropdown" ma:internalName="FastTrackWebPage">
      <xsd:simpleType>
        <xsd:restriction base="dms:Choice">
          <xsd:enumeration value="Application"/>
          <xsd:enumeration value="Comments from invited parties"/>
          <xsd:enumeration value="Correspondence to and from the panel"/>
          <xsd:enumeration value="Expert Panel"/>
          <xsd:enumeration value="Draft conditions"/>
          <xsd:enumeration value="Reports and advice"/>
          <xsd:enumeration value="Decision notice"/>
          <xsd:enumeration value="Hearing"/>
          <xsd:enumeration value="Appeal"/>
          <xsd:enumeration value="Appeal - Expert conferencing"/>
          <xsd:enumeration value="Applicant Responses"/>
        </xsd:restriction>
      </xsd:simpleType>
    </xsd:element>
    <xsd:element name="PRA" ma:index="4" nillable="true" ma:displayName="PRA" ma:internalName="PRA">
      <xsd:simpleType>
        <xsd:restriction base="dms:Text">
          <xsd:maxLength value="255"/>
        </xsd:restriction>
      </xsd:simpleType>
    </xsd:element>
    <xsd:element name="FastTrackAppID" ma:index="5" nillable="true" ma:displayName="Unique Project ID" ma:internalName="FastTrackAppID">
      <xsd:simpleType>
        <xsd:restriction base="dms:Text">
          <xsd:maxLength value="255"/>
        </xsd:restriction>
      </xsd:simpleType>
    </xsd:element>
    <xsd:element name="FastTrackAppTitle" ma:index="6" nillable="true" ma:displayName="Project Name/Title" ma:internalName="FastTrackAppTitle">
      <xsd:simpleType>
        <xsd:restriction base="dms:Text">
          <xsd:maxLength value="255"/>
        </xsd:restriction>
      </xsd:simpleType>
    </xsd:element>
    <xsd:element name="FastTrackAppType" ma:index="7" nillable="true" ma:displayName="Application Type" ma:format="Dropdown" ma:internalName="FastTrackAppType">
      <xsd:simpleType>
        <xsd:restriction base="dms:Choice">
          <xsd:enumeration value="Referral"/>
          <xsd:enumeration value="Substantive"/>
        </xsd:restriction>
      </xsd:simpleType>
    </xsd:element>
    <xsd:element name="FastTrackActs" ma:index="9" nillable="true" ma:displayName="Fast Track Acts" ma:internalName="FastTrackA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source Management Act 1991"/>
                    <xsd:enumeration value="Resource Management Act 1991 - Notice of Requirement"/>
                    <xsd:enumeration value="Heritage New Zealand Pouhere Taonga Act 2014"/>
                    <xsd:enumeration value="The Wildlife Act 1953"/>
                    <xsd:enumeration value="The Conservation Act 1987"/>
                    <xsd:enumeration value="The Reserves Act 1977"/>
                    <xsd:enumeration value="The Exclusive Economic Zone and Continental Shelf (Environmental Effects) Act 2012"/>
                    <xsd:enumeration value="The Crown Minerals Act 1991"/>
                    <xsd:enumeration value="The Fisheries Act 1996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100dd-7238-47d4-864c-a888c323434e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ec1d-cb6f-4242-aff8-c2598d059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12b3a59-6397-4d15-930a-dc7894fa5f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6f299-dc7c-49c5-a3f7-54d1288b5f3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332c9e0-a3cb-41c5-b68a-59db140cf3a4}" ma:internalName="TaxCatchAll" ma:showField="CatchAllData" ma:web="5ae100dd-7238-47d4-864c-a888c3234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eeec1d-cb6f-4242-aff8-c2598d059fcc">
      <Terms xmlns="http://schemas.microsoft.com/office/infopath/2007/PartnerControls"/>
    </lcf76f155ced4ddcb4097134ff3c332f>
    <Company xmlns="http://schemas.microsoft.com/sharepoint/v3" xsi:nil="true"/>
    <FastTrackWebPage xmlns="3f9f7acc-4d99-40e6-b6e9-12f826063963" xsi:nil="true"/>
    <PRA xmlns="3f9f7acc-4d99-40e6-b6e9-12f826063963" xsi:nil="true"/>
    <FastTrackAppType xmlns="3f9f7acc-4d99-40e6-b6e9-12f826063963">Substantive Approval</FastTrackAppType>
    <date xmlns="2deeec1d-cb6f-4242-aff8-c2598d059fcc" xsi:nil="true"/>
    <FastTrackAppID xmlns="3f9f7acc-4d99-40e6-b6e9-12f826063963">FTAA-2509-1100</FastTrackAppID>
    <FastTrackAppTitle xmlns="3f9f7acc-4d99-40e6-b6e9-12f826063963">The Point Solar Farm</FastTrackAppTitle>
    <FastTrackActs xmlns="3f9f7acc-4d99-40e6-b6e9-12f826063963">
      <Value>The Conservation Act 1987</Value>
      <Value>Resource Management Act 1991</Value>
    </FastTrackActs>
    <FastTrackTopic xmlns="3f9f7acc-4d99-40e6-b6e9-12f826063963" xsi:nil="true"/>
    <TaxCatchAll xmlns="d9c6f299-dc7c-49c5-a3f7-54d1288b5f35" xsi:nil="true"/>
    <_dlc_DocId xmlns="5ae100dd-7238-47d4-864c-a888c323434e">EPANZ-1167831518-101128</_dlc_DocId>
    <_dlc_DocIdUrl xmlns="5ae100dd-7238-47d4-864c-a888c323434e">
      <Url>https://epaintune.sharepoint.com/sites/EPA/_layouts/15/DocIdRedir.aspx?ID=EPANZ-1167831518-101128</Url>
      <Description>EPANZ-1167831518-101128</Description>
    </_dlc_DocIdUrl>
  </documentManagement>
</p:properties>
</file>

<file path=customXml/itemProps1.xml><?xml version="1.0" encoding="utf-8"?>
<ds:datastoreItem xmlns:ds="http://schemas.openxmlformats.org/officeDocument/2006/customXml" ds:itemID="{B57E16F2-85D1-408F-8FC7-B5C3F9D6F9A5}"/>
</file>

<file path=customXml/itemProps2.xml><?xml version="1.0" encoding="utf-8"?>
<ds:datastoreItem xmlns:ds="http://schemas.openxmlformats.org/officeDocument/2006/customXml" ds:itemID="{EBE507A1-3F35-4BB3-AD4C-399314911C75}"/>
</file>

<file path=customXml/itemProps3.xml><?xml version="1.0" encoding="utf-8"?>
<ds:datastoreItem xmlns:ds="http://schemas.openxmlformats.org/officeDocument/2006/customXml" ds:itemID="{364B5C5A-8E04-4A3F-975C-6ABD26BE2377}"/>
</file>

<file path=customXml/itemProps4.xml><?xml version="1.0" encoding="utf-8"?>
<ds:datastoreItem xmlns:ds="http://schemas.openxmlformats.org/officeDocument/2006/customXml" ds:itemID="{AF9BB37D-0E01-4402-9C15-311A3B75A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524</Words>
  <Characters>3033</Characters>
  <Application>Microsoft Office Word</Application>
  <DocSecurity>0</DocSecurity>
  <Lines>101</Lines>
  <Paragraphs>77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Jack</dc:creator>
  <cp:keywords/>
  <dc:description/>
  <cp:lastModifiedBy>Jean Jack</cp:lastModifiedBy>
  <cp:revision>53</cp:revision>
  <dcterms:created xsi:type="dcterms:W3CDTF">2026-05-10T04:24:00Z</dcterms:created>
  <dcterms:modified xsi:type="dcterms:W3CDTF">2026-06-05T00:34:00Z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147e358c,365c1537,434ddff7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UNCLASSIFIED</vt:lpwstr>
  </property>
  <property fmtid="{D5CDD505-2E9C-101B-9397-08002B2CF9AE}" pid="5" name="MSIP_Label_fbd6b99a-fac1-4e05-8dc7-c2bf2e12697f_Enabled">
    <vt:lpwstr>true</vt:lpwstr>
  </property>
  <property fmtid="{D5CDD505-2E9C-101B-9397-08002B2CF9AE}" pid="6" name="MSIP_Label_fbd6b99a-fac1-4e05-8dc7-c2bf2e12697f_SetDate">
    <vt:lpwstr>2026-05-10T04:24:29Z</vt:lpwstr>
  </property>
  <property fmtid="{D5CDD505-2E9C-101B-9397-08002B2CF9AE}" pid="7" name="MSIP_Label_fbd6b99a-fac1-4e05-8dc7-c2bf2e12697f_Method">
    <vt:lpwstr>Privileged</vt:lpwstr>
  </property>
  <property fmtid="{D5CDD505-2E9C-101B-9397-08002B2CF9AE}" pid="8" name="MSIP_Label_fbd6b99a-fac1-4e05-8dc7-c2bf2e12697f_Name">
    <vt:lpwstr>Unclassified</vt:lpwstr>
  </property>
  <property fmtid="{D5CDD505-2E9C-101B-9397-08002B2CF9AE}" pid="9" name="MSIP_Label_fbd6b99a-fac1-4e05-8dc7-c2bf2e12697f_SiteId">
    <vt:lpwstr>984befea-c12e-454e-9111-7b8d8da5e7e1</vt:lpwstr>
  </property>
  <property fmtid="{D5CDD505-2E9C-101B-9397-08002B2CF9AE}" pid="10" name="MSIP_Label_fbd6b99a-fac1-4e05-8dc7-c2bf2e12697f_ActionId">
    <vt:lpwstr>dc100a36-80a2-4fc4-aedc-938c7cb01f37</vt:lpwstr>
  </property>
  <property fmtid="{D5CDD505-2E9C-101B-9397-08002B2CF9AE}" pid="11" name="MSIP_Label_fbd6b99a-fac1-4e05-8dc7-c2bf2e12697f_ContentBits">
    <vt:lpwstr>2</vt:lpwstr>
  </property>
  <property fmtid="{D5CDD505-2E9C-101B-9397-08002B2CF9AE}" pid="12" name="MSIP_Label_fbd6b99a-fac1-4e05-8dc7-c2bf2e12697f_Tag">
    <vt:lpwstr>10, 0, 1, 1</vt:lpwstr>
  </property>
  <property fmtid="{D5CDD505-2E9C-101B-9397-08002B2CF9AE}" pid="13" name="ContentTypeId">
    <vt:lpwstr>0x010100E106A414AAFDB04FBE306619CD48353E002F0A2382F357314CA07B1E1FA9C121DE</vt:lpwstr>
  </property>
  <property fmtid="{D5CDD505-2E9C-101B-9397-08002B2CF9AE}" pid="14" name="_dlc_DocIdItemGuid">
    <vt:lpwstr>7f0256d6-2344-41ae-b3cf-03c8459aa672</vt:lpwstr>
  </property>
  <property fmtid="{D5CDD505-2E9C-101B-9397-08002B2CF9AE}" pid="15" name="MediaServiceImageTags">
    <vt:lpwstr/>
  </property>
</Properties>
</file>