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F579" w14:textId="4D24E55D" w:rsidR="00536B90" w:rsidRPr="003C52F9" w:rsidRDefault="004626C0">
      <w:pPr>
        <w:pStyle w:val="Title"/>
        <w:rPr>
          <w:rFonts w:ascii="Arial" w:hAnsi="Arial" w:cs="Arial"/>
        </w:rPr>
      </w:pPr>
      <w:r w:rsidRPr="004626C0">
        <w:rPr>
          <w:rFonts w:ascii="Arial" w:eastAsiaTheme="minorHAnsi" w:hAnsi="Arial" w:cs="Arial"/>
          <w:b/>
          <w:bCs/>
          <w:color w:val="47832C"/>
          <w:kern w:val="2"/>
          <w:sz w:val="28"/>
          <w:szCs w:val="28"/>
          <w14:ligatures w14:val="standardContextual"/>
        </w:rPr>
        <w:t>Comparison</w:t>
      </w:r>
      <w:r w:rsidR="003D2F67">
        <w:rPr>
          <w:rFonts w:ascii="Arial" w:eastAsiaTheme="minorHAnsi" w:hAnsi="Arial" w:cs="Arial"/>
          <w:b/>
          <w:bCs/>
          <w:color w:val="47832C"/>
          <w:kern w:val="2"/>
          <w:sz w:val="28"/>
          <w:szCs w:val="28"/>
          <w14:ligatures w14:val="standardContextual"/>
        </w:rPr>
        <w:t xml:space="preserve"> of Conditions</w:t>
      </w:r>
      <w:r w:rsidR="00CC39F8">
        <w:rPr>
          <w:rFonts w:ascii="Arial" w:eastAsiaTheme="minorHAnsi" w:hAnsi="Arial" w:cs="Arial"/>
          <w:b/>
          <w:bCs/>
          <w:color w:val="47832C"/>
          <w:kern w:val="2"/>
          <w:sz w:val="28"/>
          <w:szCs w:val="28"/>
          <w14:ligatures w14:val="standardContextual"/>
        </w:rPr>
        <w:t xml:space="preserve"> — Bream Bay FT Application &amp; </w:t>
      </w:r>
      <w:proofErr w:type="spellStart"/>
      <w:r w:rsidR="004A1026">
        <w:rPr>
          <w:rFonts w:ascii="Arial" w:eastAsiaTheme="minorHAnsi" w:hAnsi="Arial" w:cs="Arial"/>
          <w:b/>
          <w:bCs/>
          <w:color w:val="47832C"/>
          <w:kern w:val="2"/>
          <w:sz w:val="28"/>
          <w:szCs w:val="28"/>
          <w14:ligatures w14:val="standardContextual"/>
        </w:rPr>
        <w:t>Pakiri</w:t>
      </w:r>
      <w:proofErr w:type="spellEnd"/>
      <w:r w:rsidR="004A1026">
        <w:rPr>
          <w:rFonts w:ascii="Arial" w:eastAsiaTheme="minorHAnsi" w:hAnsi="Arial" w:cs="Arial"/>
          <w:b/>
          <w:bCs/>
          <w:color w:val="47832C"/>
          <w:kern w:val="2"/>
          <w:sz w:val="28"/>
          <w:szCs w:val="28"/>
          <w14:ligatures w14:val="standardContextual"/>
        </w:rPr>
        <w:t xml:space="preserve"> Offshore Conditions July 2023</w:t>
      </w:r>
    </w:p>
    <w:p w14:paraId="66D302F0" w14:textId="77777777" w:rsidR="00536B90" w:rsidRPr="003C52F9" w:rsidRDefault="009C3C60">
      <w:pPr>
        <w:rPr>
          <w:rFonts w:ascii="Arial" w:hAnsi="Arial" w:cs="Arial"/>
        </w:rPr>
      </w:pPr>
      <w:r w:rsidRPr="003C52F9">
        <w:rPr>
          <w:rFonts w:ascii="Arial" w:hAnsi="Arial" w:cs="Arial"/>
        </w:rPr>
        <w:t>This table identifies key consent conditions that materially affect environmental outcomes, including relevant condition references and planning framework implications (RMA / effects-based assessment).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3687"/>
        <w:gridCol w:w="3827"/>
        <w:gridCol w:w="3261"/>
      </w:tblGrid>
      <w:tr w:rsidR="00E83806" w:rsidRPr="003C52F9" w14:paraId="767504D4" w14:textId="77777777" w:rsidTr="00E83806">
        <w:trPr>
          <w:tblHeader/>
        </w:trPr>
        <w:tc>
          <w:tcPr>
            <w:tcW w:w="903" w:type="pct"/>
            <w:shd w:val="clear" w:color="auto" w:fill="BFBFBF" w:themeFill="background1" w:themeFillShade="BF"/>
          </w:tcPr>
          <w:p w14:paraId="4824A52D" w14:textId="7D670ABE" w:rsidR="00E83806" w:rsidRPr="00417FE2" w:rsidRDefault="00E83806">
            <w:pPr>
              <w:rPr>
                <w:rFonts w:ascii="Arial" w:hAnsi="Arial" w:cs="Arial"/>
                <w:b/>
                <w:bCs/>
              </w:rPr>
            </w:pPr>
            <w:r w:rsidRPr="00417FE2">
              <w:rPr>
                <w:rFonts w:ascii="Arial" w:hAnsi="Arial" w:cs="Arial"/>
                <w:b/>
                <w:bCs/>
              </w:rPr>
              <w:t>Topic / Effect Addressed</w:t>
            </w:r>
          </w:p>
        </w:tc>
        <w:tc>
          <w:tcPr>
            <w:tcW w:w="1402" w:type="pct"/>
            <w:shd w:val="clear" w:color="auto" w:fill="BFBFBF" w:themeFill="background1" w:themeFillShade="BF"/>
          </w:tcPr>
          <w:p w14:paraId="40E19015" w14:textId="432192F2" w:rsidR="00E83806" w:rsidRPr="00417FE2" w:rsidRDefault="00E81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Bream Bay Proposed Draft Conditions</w:t>
            </w:r>
            <w:r w:rsidR="00E37BA6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37BA6">
              <w:rPr>
                <w:rFonts w:ascii="Arial" w:hAnsi="Arial" w:cs="Arial"/>
                <w:b/>
                <w:bCs/>
              </w:rPr>
              <w:t>11 May 2026</w:t>
            </w:r>
          </w:p>
        </w:tc>
        <w:tc>
          <w:tcPr>
            <w:tcW w:w="1455" w:type="pct"/>
            <w:shd w:val="clear" w:color="auto" w:fill="BFBFBF" w:themeFill="background1" w:themeFillShade="BF"/>
          </w:tcPr>
          <w:p w14:paraId="28613C37" w14:textId="6B74EDAF" w:rsidR="00E83806" w:rsidRPr="00417FE2" w:rsidRDefault="001F08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</w:t>
            </w:r>
            <w:r w:rsidR="000B3091">
              <w:rPr>
                <w:rFonts w:ascii="Arial" w:hAnsi="Arial" w:cs="Arial"/>
                <w:b/>
                <w:bCs/>
              </w:rPr>
              <w:t xml:space="preserve"> Draft</w:t>
            </w:r>
            <w:r>
              <w:rPr>
                <w:rFonts w:ascii="Arial" w:hAnsi="Arial" w:cs="Arial"/>
                <w:b/>
                <w:bCs/>
              </w:rPr>
              <w:t xml:space="preserve"> Conditions of Consent</w:t>
            </w:r>
            <w:r w:rsidR="000B3091">
              <w:rPr>
                <w:rFonts w:ascii="Arial" w:hAnsi="Arial" w:cs="Arial"/>
                <w:b/>
                <w:bCs/>
              </w:rPr>
              <w:t>, July 2023</w:t>
            </w:r>
          </w:p>
        </w:tc>
        <w:tc>
          <w:tcPr>
            <w:tcW w:w="1240" w:type="pct"/>
            <w:shd w:val="clear" w:color="auto" w:fill="BFBFBF" w:themeFill="background1" w:themeFillShade="BF"/>
          </w:tcPr>
          <w:p w14:paraId="354FC181" w14:textId="4E95CE00" w:rsidR="00E83806" w:rsidRPr="00417FE2" w:rsidRDefault="00E838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 on difference</w:t>
            </w:r>
          </w:p>
        </w:tc>
      </w:tr>
      <w:tr w:rsidR="00E83806" w:rsidRPr="000E73A7" w14:paraId="2E1F8E9E" w14:textId="77777777" w:rsidTr="00E83806">
        <w:tc>
          <w:tcPr>
            <w:tcW w:w="903" w:type="pct"/>
          </w:tcPr>
          <w:p w14:paraId="024741D7" w14:textId="64F18B23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Sand extraction volume escalation</w:t>
            </w:r>
          </w:p>
        </w:tc>
        <w:tc>
          <w:tcPr>
            <w:tcW w:w="1402" w:type="pct"/>
          </w:tcPr>
          <w:p w14:paraId="02B57C4C" w14:textId="59C32B64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Condition. 23 — Three years post approval extraction can increase from 150,000 m</w:t>
            </w:r>
            <w:r w:rsidRPr="000E73A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3 </w:t>
            </w:r>
            <w:r w:rsidRPr="000E73A7">
              <w:rPr>
                <w:rFonts w:ascii="Arial" w:hAnsi="Arial" w:cs="Arial"/>
                <w:sz w:val="18"/>
                <w:szCs w:val="18"/>
              </w:rPr>
              <w:t>to 250,000 m</w:t>
            </w:r>
            <w:r w:rsidRPr="000E73A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3 </w:t>
            </w:r>
            <w:r w:rsidRPr="000E73A7">
              <w:rPr>
                <w:rFonts w:ascii="Arial" w:hAnsi="Arial" w:cs="Arial"/>
                <w:sz w:val="18"/>
                <w:szCs w:val="18"/>
              </w:rPr>
              <w:t xml:space="preserve">based on monitoring outcomes. </w:t>
            </w:r>
          </w:p>
        </w:tc>
        <w:tc>
          <w:tcPr>
            <w:tcW w:w="1455" w:type="pct"/>
          </w:tcPr>
          <w:p w14:paraId="2654A074" w14:textId="30D3742A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Only includes caps on the maximum volume of sand to be extracted in Condition 18:</w:t>
            </w:r>
          </w:p>
          <w:p w14:paraId="52B278DE" w14:textId="77777777" w:rsidR="00E83806" w:rsidRPr="000E73A7" w:rsidRDefault="00E83806" w:rsidP="00F516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Total cap — 2,000,000 m</w:t>
            </w:r>
            <w:r w:rsidRPr="000E73A7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1FA0929F" w14:textId="77777777" w:rsidR="00E83806" w:rsidRPr="000E73A7" w:rsidRDefault="00E83806" w:rsidP="00F516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Cap between landward boundary of the extraction area and 30 m isobath — 75,000 m3 per 12 months. </w:t>
            </w:r>
          </w:p>
          <w:p w14:paraId="4647201A" w14:textId="4C0CB1C8" w:rsidR="00E83806" w:rsidRPr="000E73A7" w:rsidRDefault="00E83806" w:rsidP="00F516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And in Condition 19: </w:t>
            </w:r>
          </w:p>
          <w:p w14:paraId="076E2304" w14:textId="5109339D" w:rsidR="00E83806" w:rsidRPr="000E73A7" w:rsidRDefault="00E83806" w:rsidP="00F516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Reporting Cell (ASEA) cap —20,000 m³ </w:t>
            </w:r>
            <w:r w:rsidR="00F516A2" w:rsidRPr="000E73A7">
              <w:rPr>
                <w:rFonts w:ascii="Arial" w:hAnsi="Arial" w:cs="Arial"/>
                <w:sz w:val="18"/>
                <w:szCs w:val="18"/>
              </w:rPr>
              <w:t xml:space="preserve">per 12 months </w:t>
            </w:r>
            <w:r w:rsidRPr="000E73A7">
              <w:rPr>
                <w:rFonts w:ascii="Arial" w:hAnsi="Arial" w:cs="Arial"/>
                <w:sz w:val="18"/>
                <w:szCs w:val="18"/>
              </w:rPr>
              <w:t>+ 12</w:t>
            </w:r>
            <w:r w:rsidRPr="000E73A7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0E73A7">
              <w:rPr>
                <w:rFonts w:ascii="Arial" w:hAnsi="Arial" w:cs="Arial"/>
                <w:sz w:val="18"/>
                <w:szCs w:val="18"/>
              </w:rPr>
              <w:t>month stand</w:t>
            </w:r>
            <w:r w:rsidRPr="000E73A7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0E73A7">
              <w:rPr>
                <w:rFonts w:ascii="Arial" w:hAnsi="Arial" w:cs="Arial"/>
                <w:sz w:val="18"/>
                <w:szCs w:val="18"/>
              </w:rPr>
              <w:t xml:space="preserve">down </w:t>
            </w:r>
            <w:r w:rsidR="00F516A2" w:rsidRPr="000E73A7">
              <w:rPr>
                <w:rFonts w:ascii="Arial" w:hAnsi="Arial" w:cs="Arial"/>
                <w:sz w:val="18"/>
                <w:szCs w:val="18"/>
              </w:rPr>
              <w:t xml:space="preserve">from that cell </w:t>
            </w:r>
            <w:r w:rsidRPr="000E73A7">
              <w:rPr>
                <w:rFonts w:ascii="Arial" w:hAnsi="Arial" w:cs="Arial"/>
                <w:sz w:val="18"/>
                <w:szCs w:val="18"/>
              </w:rPr>
              <w:t xml:space="preserve">if cap </w:t>
            </w:r>
            <w:r w:rsidR="00F516A2" w:rsidRPr="000E73A7">
              <w:rPr>
                <w:rFonts w:ascii="Arial" w:hAnsi="Arial" w:cs="Arial"/>
                <w:sz w:val="18"/>
                <w:szCs w:val="18"/>
              </w:rPr>
              <w:t xml:space="preserve">is reached. </w:t>
            </w:r>
          </w:p>
        </w:tc>
        <w:tc>
          <w:tcPr>
            <w:tcW w:w="1240" w:type="pct"/>
          </w:tcPr>
          <w:p w14:paraId="27420BCB" w14:textId="073B12DB" w:rsidR="00E83806" w:rsidRPr="000E73A7" w:rsidRDefault="00685F5E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48783E" w:rsidRPr="000E73A7">
              <w:rPr>
                <w:rFonts w:ascii="Arial" w:hAnsi="Arial" w:cs="Arial"/>
                <w:sz w:val="18"/>
                <w:szCs w:val="18"/>
              </w:rPr>
              <w:t xml:space="preserve">2023 </w:t>
            </w:r>
            <w:proofErr w:type="spellStart"/>
            <w:r w:rsidRPr="000E73A7">
              <w:rPr>
                <w:rFonts w:ascii="Arial" w:hAnsi="Arial" w:cs="Arial"/>
                <w:sz w:val="18"/>
                <w:szCs w:val="18"/>
              </w:rPr>
              <w:t>Pakiri</w:t>
            </w:r>
            <w:proofErr w:type="spellEnd"/>
            <w:r w:rsidRPr="000E73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783E" w:rsidRPr="000E73A7">
              <w:rPr>
                <w:rFonts w:ascii="Arial" w:hAnsi="Arial" w:cs="Arial"/>
                <w:sz w:val="18"/>
                <w:szCs w:val="18"/>
              </w:rPr>
              <w:t xml:space="preserve">conditions provide static volume caps </w:t>
            </w:r>
            <w:r w:rsidRPr="000E73A7">
              <w:rPr>
                <w:rFonts w:ascii="Arial" w:hAnsi="Arial" w:cs="Arial"/>
                <w:sz w:val="18"/>
                <w:szCs w:val="18"/>
              </w:rPr>
              <w:t>where</w:t>
            </w:r>
            <w:r w:rsidR="00C4107C" w:rsidRPr="000E73A7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Pr="000E73A7">
              <w:rPr>
                <w:rFonts w:ascii="Arial" w:hAnsi="Arial" w:cs="Arial"/>
                <w:sz w:val="18"/>
                <w:szCs w:val="18"/>
              </w:rPr>
              <w:t xml:space="preserve">the 2026 Bream Bay </w:t>
            </w:r>
            <w:r w:rsidR="000D4E8A" w:rsidRPr="000E73A7">
              <w:rPr>
                <w:rFonts w:ascii="Arial" w:hAnsi="Arial" w:cs="Arial"/>
                <w:sz w:val="18"/>
                <w:szCs w:val="18"/>
              </w:rPr>
              <w:t xml:space="preserve">proposed </w:t>
            </w:r>
            <w:r w:rsidRPr="000E73A7">
              <w:rPr>
                <w:rFonts w:ascii="Arial" w:hAnsi="Arial" w:cs="Arial"/>
                <w:sz w:val="18"/>
                <w:szCs w:val="18"/>
              </w:rPr>
              <w:t>conditions include</w:t>
            </w:r>
            <w:r w:rsidR="00CD0F5D" w:rsidRPr="000E73A7">
              <w:rPr>
                <w:rFonts w:ascii="Arial" w:hAnsi="Arial" w:cs="Arial"/>
                <w:sz w:val="18"/>
                <w:szCs w:val="18"/>
              </w:rPr>
              <w:t xml:space="preserve"> a staged increase </w:t>
            </w:r>
            <w:r w:rsidR="00531AF3" w:rsidRPr="000E73A7">
              <w:rPr>
                <w:rFonts w:ascii="Arial" w:hAnsi="Arial" w:cs="Arial"/>
                <w:sz w:val="18"/>
                <w:szCs w:val="18"/>
              </w:rPr>
              <w:t xml:space="preserve">in maximum extraction volume </w:t>
            </w:r>
            <w:r w:rsidR="00CD0F5D" w:rsidRPr="000E73A7">
              <w:rPr>
                <w:rFonts w:ascii="Arial" w:hAnsi="Arial" w:cs="Arial"/>
                <w:sz w:val="18"/>
                <w:szCs w:val="18"/>
              </w:rPr>
              <w:t>based</w:t>
            </w:r>
            <w:r w:rsidR="00B2477A" w:rsidRPr="000E73A7">
              <w:rPr>
                <w:rFonts w:ascii="Arial" w:hAnsi="Arial" w:cs="Arial"/>
                <w:sz w:val="18"/>
                <w:szCs w:val="18"/>
              </w:rPr>
              <w:t xml:space="preserve"> on monitorin</w:t>
            </w:r>
            <w:r w:rsidR="006E1A58" w:rsidRPr="000E73A7">
              <w:rPr>
                <w:rFonts w:ascii="Arial" w:hAnsi="Arial" w:cs="Arial"/>
                <w:sz w:val="18"/>
                <w:szCs w:val="18"/>
              </w:rPr>
              <w:t xml:space="preserve">g of </w:t>
            </w:r>
            <w:r w:rsidR="00EB4D5E" w:rsidRPr="000E73A7">
              <w:rPr>
                <w:rFonts w:ascii="Arial" w:hAnsi="Arial" w:cs="Arial"/>
                <w:sz w:val="18"/>
                <w:szCs w:val="18"/>
              </w:rPr>
              <w:t xml:space="preserve">adverse effects in </w:t>
            </w:r>
            <w:r w:rsidR="006E1A58" w:rsidRPr="000E73A7">
              <w:rPr>
                <w:rFonts w:ascii="Arial" w:hAnsi="Arial" w:cs="Arial"/>
                <w:sz w:val="18"/>
                <w:szCs w:val="18"/>
              </w:rPr>
              <w:t xml:space="preserve">the 100 m wide bathymetric control area and </w:t>
            </w:r>
            <w:r w:rsidR="005C3BF3" w:rsidRPr="000E73A7">
              <w:rPr>
                <w:rFonts w:ascii="Arial" w:hAnsi="Arial" w:cs="Arial"/>
                <w:sz w:val="18"/>
                <w:szCs w:val="18"/>
              </w:rPr>
              <w:t xml:space="preserve">benthic </w:t>
            </w:r>
            <w:r w:rsidR="00333A07" w:rsidRPr="000E73A7">
              <w:rPr>
                <w:rFonts w:ascii="Arial" w:hAnsi="Arial" w:cs="Arial"/>
                <w:sz w:val="18"/>
                <w:szCs w:val="18"/>
              </w:rPr>
              <w:t xml:space="preserve">communities. </w:t>
            </w:r>
          </w:p>
        </w:tc>
      </w:tr>
      <w:tr w:rsidR="00E83806" w:rsidRPr="000E73A7" w14:paraId="4C1E4A48" w14:textId="77777777" w:rsidTr="00E83806">
        <w:tc>
          <w:tcPr>
            <w:tcW w:w="903" w:type="pct"/>
          </w:tcPr>
          <w:p w14:paraId="0BAF0E2E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Adaptive management</w:t>
            </w:r>
          </w:p>
        </w:tc>
        <w:tc>
          <w:tcPr>
            <w:tcW w:w="1402" w:type="pct"/>
          </w:tcPr>
          <w:p w14:paraId="61D5F233" w14:textId="45AC857C" w:rsidR="0020427B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Cond</w:t>
            </w:r>
            <w:r w:rsidR="00EB4D5E" w:rsidRPr="000E73A7">
              <w:rPr>
                <w:rFonts w:ascii="Arial" w:hAnsi="Arial" w:cs="Arial"/>
                <w:sz w:val="18"/>
                <w:szCs w:val="18"/>
              </w:rPr>
              <w:t>ition</w:t>
            </w:r>
            <w:r w:rsidRPr="000E73A7">
              <w:rPr>
                <w:rFonts w:ascii="Arial" w:hAnsi="Arial" w:cs="Arial"/>
                <w:sz w:val="18"/>
                <w:szCs w:val="18"/>
              </w:rPr>
              <w:t>. 6</w:t>
            </w:r>
            <w:r w:rsidR="0020427B" w:rsidRPr="000E73A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53D7B">
              <w:rPr>
                <w:rFonts w:ascii="Arial" w:hAnsi="Arial" w:cs="Arial"/>
                <w:sz w:val="18"/>
                <w:szCs w:val="18"/>
              </w:rPr>
              <w:t xml:space="preserve">s128 review linked to receipt of </w:t>
            </w:r>
            <w:r w:rsidR="006935F6" w:rsidRPr="006935F6">
              <w:rPr>
                <w:rFonts w:ascii="Arial" w:hAnsi="Arial" w:cs="Arial"/>
                <w:sz w:val="18"/>
                <w:szCs w:val="18"/>
              </w:rPr>
              <w:t>Sand Extraction Monitoring Report</w:t>
            </w:r>
            <w:r w:rsidR="006935F6">
              <w:rPr>
                <w:rFonts w:ascii="Arial" w:hAnsi="Arial" w:cs="Arial"/>
                <w:sz w:val="18"/>
                <w:szCs w:val="18"/>
              </w:rPr>
              <w:t xml:space="preserve"> (SEMR)</w:t>
            </w:r>
            <w:r w:rsidR="00444660">
              <w:rPr>
                <w:rFonts w:ascii="Arial" w:hAnsi="Arial" w:cs="Arial"/>
                <w:sz w:val="18"/>
                <w:szCs w:val="18"/>
              </w:rPr>
              <w:t>.</w:t>
            </w:r>
            <w:r w:rsidR="007D2592" w:rsidRPr="007D25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4828">
              <w:rPr>
                <w:rFonts w:ascii="Arial" w:hAnsi="Arial" w:cs="Arial"/>
                <w:sz w:val="18"/>
                <w:szCs w:val="18"/>
              </w:rPr>
              <w:t>Purpose is to</w:t>
            </w:r>
            <w:r w:rsidR="007D2592" w:rsidRPr="007D2592">
              <w:rPr>
                <w:rFonts w:ascii="Arial" w:hAnsi="Arial" w:cs="Arial"/>
                <w:sz w:val="18"/>
                <w:szCs w:val="18"/>
              </w:rPr>
              <w:t xml:space="preserve"> deal with any adverse effect on the environment</w:t>
            </w:r>
            <w:r w:rsidR="007D2592">
              <w:rPr>
                <w:rFonts w:ascii="Arial" w:hAnsi="Arial" w:cs="Arial"/>
                <w:sz w:val="18"/>
                <w:szCs w:val="18"/>
              </w:rPr>
              <w:t xml:space="preserve"> appropriate to deal with at a later stage or signficant adverse effects identified in the SEMR. </w:t>
            </w:r>
            <w:r w:rsidR="00294B01">
              <w:rPr>
                <w:rFonts w:ascii="Arial" w:hAnsi="Arial" w:cs="Arial"/>
                <w:sz w:val="18"/>
                <w:szCs w:val="18"/>
              </w:rPr>
              <w:t xml:space="preserve">Can modify monitoring, </w:t>
            </w:r>
            <w:r w:rsidR="00CC26A1">
              <w:rPr>
                <w:rFonts w:ascii="Arial" w:hAnsi="Arial" w:cs="Arial"/>
                <w:sz w:val="18"/>
                <w:szCs w:val="18"/>
              </w:rPr>
              <w:t xml:space="preserve">delete, amend or add conditions or require remedial actions. </w:t>
            </w:r>
          </w:p>
          <w:p w14:paraId="48865233" w14:textId="77777777" w:rsidR="001362FD" w:rsidRPr="001362FD" w:rsidRDefault="0020427B" w:rsidP="001B08B4">
            <w:pPr>
              <w:spacing w:after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Condition 37: </w:t>
            </w:r>
            <w:r w:rsidR="000E73A7" w:rsidRPr="000E73A7">
              <w:rPr>
                <w:rFonts w:ascii="Arial" w:hAnsi="Arial" w:cs="Arial"/>
                <w:sz w:val="18"/>
                <w:szCs w:val="18"/>
                <w:lang w:val="en-NZ"/>
              </w:rPr>
              <w:t xml:space="preserve">The consent holder must </w:t>
            </w:r>
            <w:r w:rsidR="000E73A7" w:rsidRPr="000E73A7">
              <w:rPr>
                <w:rFonts w:ascii="Arial" w:hAnsi="Arial" w:cs="Arial"/>
                <w:sz w:val="18"/>
                <w:szCs w:val="18"/>
                <w:lang w:val="en-NZ"/>
              </w:rPr>
              <w:lastRenderedPageBreak/>
              <w:t>prepare</w:t>
            </w:r>
            <w:r w:rsidR="000E73A7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1362FD" w:rsidRPr="001362FD">
              <w:rPr>
                <w:rFonts w:ascii="Arial" w:hAnsi="Arial" w:cs="Arial"/>
                <w:sz w:val="18"/>
                <w:szCs w:val="18"/>
                <w:lang w:val="en-NZ"/>
              </w:rPr>
              <w:t>Sand Extraction Monitoring Reports (SEMRs) for areas where extraction has occurred.</w:t>
            </w:r>
          </w:p>
          <w:p w14:paraId="6FF5140F" w14:textId="77777777" w:rsidR="009622A7" w:rsidRDefault="009622A7" w:rsidP="001B08B4">
            <w:pPr>
              <w:spacing w:after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640C37F5" w14:textId="17DC0D40" w:rsidR="001362FD" w:rsidRPr="001362FD" w:rsidRDefault="001362FD" w:rsidP="001B08B4">
            <w:pPr>
              <w:spacing w:after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1362FD">
              <w:rPr>
                <w:rFonts w:ascii="Arial" w:hAnsi="Arial" w:cs="Arial"/>
                <w:sz w:val="18"/>
                <w:szCs w:val="18"/>
                <w:lang w:val="en-NZ"/>
              </w:rPr>
              <w:t>Frequency depends on scenario:</w:t>
            </w:r>
          </w:p>
          <w:p w14:paraId="43CB8C25" w14:textId="77777777" w:rsidR="001362FD" w:rsidRPr="001362FD" w:rsidRDefault="001362FD" w:rsidP="001B08B4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1362FD">
              <w:rPr>
                <w:rFonts w:ascii="Arial" w:hAnsi="Arial" w:cs="Arial"/>
                <w:sz w:val="18"/>
                <w:szCs w:val="18"/>
                <w:lang w:val="en-NZ"/>
              </w:rPr>
              <w:t xml:space="preserve">If no volume increase: </w:t>
            </w:r>
          </w:p>
          <w:p w14:paraId="72CC2E9F" w14:textId="622FA427" w:rsidR="001362FD" w:rsidRPr="001362FD" w:rsidRDefault="001362FD" w:rsidP="001B08B4">
            <w:pPr>
              <w:numPr>
                <w:ilvl w:val="1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1362FD">
              <w:rPr>
                <w:rFonts w:ascii="Arial" w:hAnsi="Arial" w:cs="Arial"/>
                <w:sz w:val="18"/>
                <w:szCs w:val="18"/>
                <w:lang w:val="en-NZ"/>
              </w:rPr>
              <w:t>Years 2–4</w: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t xml:space="preserve">, </w:t>
            </w:r>
            <w:r w:rsidRPr="001362FD">
              <w:rPr>
                <w:rFonts w:ascii="Arial" w:hAnsi="Arial" w:cs="Arial"/>
                <w:sz w:val="18"/>
                <w:szCs w:val="18"/>
                <w:lang w:val="en-NZ"/>
              </w:rPr>
              <w:t>then every 3 years</w:t>
            </w:r>
          </w:p>
          <w:p w14:paraId="1E257908" w14:textId="77777777" w:rsidR="001362FD" w:rsidRPr="001362FD" w:rsidRDefault="001362FD" w:rsidP="001B08B4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1362FD">
              <w:rPr>
                <w:rFonts w:ascii="Arial" w:hAnsi="Arial" w:cs="Arial"/>
                <w:sz w:val="18"/>
                <w:szCs w:val="18"/>
                <w:lang w:val="en-NZ"/>
              </w:rPr>
              <w:t xml:space="preserve">If volume increases to 250,000 m³: </w:t>
            </w:r>
          </w:p>
          <w:p w14:paraId="1EA0F7B5" w14:textId="77777777" w:rsidR="001362FD" w:rsidRPr="001362FD" w:rsidRDefault="001362FD" w:rsidP="001B08B4">
            <w:pPr>
              <w:numPr>
                <w:ilvl w:val="1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1362FD">
              <w:rPr>
                <w:rFonts w:ascii="Arial" w:hAnsi="Arial" w:cs="Arial"/>
                <w:sz w:val="18"/>
                <w:szCs w:val="18"/>
                <w:lang w:val="en-NZ"/>
              </w:rPr>
              <w:t>Annually for at least 3 years after increase</w:t>
            </w:r>
          </w:p>
          <w:p w14:paraId="55BFB8D3" w14:textId="07841A2B" w:rsidR="00E83806" w:rsidRPr="000F72B0" w:rsidRDefault="001362FD" w:rsidP="000F72B0">
            <w:pPr>
              <w:numPr>
                <w:ilvl w:val="1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1362FD">
              <w:rPr>
                <w:rFonts w:ascii="Arial" w:hAnsi="Arial" w:cs="Arial"/>
                <w:sz w:val="18"/>
                <w:szCs w:val="18"/>
                <w:lang w:val="en-NZ"/>
              </w:rPr>
              <w:t>Then every 3 years</w:t>
            </w:r>
          </w:p>
        </w:tc>
        <w:tc>
          <w:tcPr>
            <w:tcW w:w="1455" w:type="pct"/>
          </w:tcPr>
          <w:p w14:paraId="372266BF" w14:textId="5CF17D21" w:rsidR="000756B2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lastRenderedPageBreak/>
              <w:t>s128 review only</w:t>
            </w:r>
            <w:r w:rsidR="00785467">
              <w:rPr>
                <w:rFonts w:ascii="Arial" w:hAnsi="Arial" w:cs="Arial"/>
                <w:sz w:val="18"/>
                <w:szCs w:val="18"/>
              </w:rPr>
              <w:t xml:space="preserve"> provided for in Condition 8. </w:t>
            </w:r>
            <w:r w:rsidR="00C65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65F">
              <w:rPr>
                <w:rFonts w:ascii="Arial" w:hAnsi="Arial" w:cs="Arial"/>
                <w:sz w:val="18"/>
                <w:szCs w:val="18"/>
              </w:rPr>
              <w:t>While the review does link to findings of the SEMR</w:t>
            </w:r>
            <w:r w:rsidR="009C7482">
              <w:rPr>
                <w:rFonts w:ascii="Arial" w:hAnsi="Arial" w:cs="Arial"/>
                <w:sz w:val="18"/>
                <w:szCs w:val="18"/>
              </w:rPr>
              <w:t>, the re</w:t>
            </w:r>
            <w:r w:rsidR="00F604E4">
              <w:rPr>
                <w:rFonts w:ascii="Arial" w:hAnsi="Arial" w:cs="Arial"/>
                <w:sz w:val="18"/>
                <w:szCs w:val="18"/>
              </w:rPr>
              <w:t>quirements are vague and do not include any triggers</w:t>
            </w:r>
            <w:r w:rsidR="00BB6341">
              <w:rPr>
                <w:rFonts w:ascii="Arial" w:hAnsi="Arial" w:cs="Arial"/>
                <w:sz w:val="18"/>
                <w:szCs w:val="18"/>
              </w:rPr>
              <w:t>.</w:t>
            </w:r>
            <w:r w:rsidR="004720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0" w:type="pct"/>
          </w:tcPr>
          <w:p w14:paraId="3DCC7D09" w14:textId="081AD57B" w:rsidR="00E83806" w:rsidRPr="000E73A7" w:rsidRDefault="004D3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Bream Bay proposed review condition has a clearer linkage </w:t>
            </w:r>
            <w:r w:rsidR="00B33D2B"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</w:rPr>
              <w:t xml:space="preserve">SEMR </w:t>
            </w:r>
            <w:r w:rsidR="00745F42">
              <w:rPr>
                <w:rFonts w:ascii="Arial" w:hAnsi="Arial" w:cs="Arial"/>
                <w:sz w:val="18"/>
                <w:szCs w:val="18"/>
              </w:rPr>
              <w:t>findings</w:t>
            </w:r>
            <w:r w:rsidR="00E750D3">
              <w:rPr>
                <w:rFonts w:ascii="Arial" w:hAnsi="Arial" w:cs="Arial"/>
                <w:sz w:val="18"/>
                <w:szCs w:val="18"/>
              </w:rPr>
              <w:t xml:space="preserve">. The 2023 condition is broad but </w:t>
            </w:r>
            <w:r w:rsidR="00FE1123">
              <w:rPr>
                <w:rFonts w:ascii="Arial" w:hAnsi="Arial" w:cs="Arial"/>
                <w:sz w:val="18"/>
                <w:szCs w:val="18"/>
              </w:rPr>
              <w:t xml:space="preserve">inadequate </w:t>
            </w:r>
            <w:r w:rsidR="00865A9E">
              <w:rPr>
                <w:rFonts w:ascii="Arial" w:hAnsi="Arial" w:cs="Arial"/>
                <w:sz w:val="18"/>
                <w:szCs w:val="18"/>
              </w:rPr>
              <w:t>a</w:t>
            </w:r>
            <w:r w:rsidR="00FE1123">
              <w:rPr>
                <w:rFonts w:ascii="Arial" w:hAnsi="Arial" w:cs="Arial"/>
                <w:sz w:val="18"/>
                <w:szCs w:val="18"/>
              </w:rPr>
              <w:t xml:space="preserve">s does not accompany additional adaptive management conditions. </w:t>
            </w:r>
          </w:p>
        </w:tc>
      </w:tr>
      <w:tr w:rsidR="00E83806" w:rsidRPr="000E73A7" w14:paraId="75978B57" w14:textId="77777777" w:rsidTr="00E83806">
        <w:tc>
          <w:tcPr>
            <w:tcW w:w="903" w:type="pct"/>
          </w:tcPr>
          <w:p w14:paraId="41149428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Pre-extraction screening (PSEAR)</w:t>
            </w:r>
          </w:p>
        </w:tc>
        <w:tc>
          <w:tcPr>
            <w:tcW w:w="1402" w:type="pct"/>
          </w:tcPr>
          <w:p w14:paraId="52873766" w14:textId="36FD1442" w:rsidR="00E83806" w:rsidRDefault="001645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Conditions 2</w:t>
            </w:r>
            <w:r w:rsidR="0039253F">
              <w:rPr>
                <w:rFonts w:ascii="Arial" w:hAnsi="Arial" w:cs="Arial"/>
                <w:sz w:val="18"/>
                <w:szCs w:val="18"/>
              </w:rPr>
              <w:t>1</w:t>
            </w:r>
            <w:r w:rsidR="004C30B0">
              <w:rPr>
                <w:rFonts w:ascii="Arial" w:hAnsi="Arial" w:cs="Arial"/>
                <w:sz w:val="18"/>
                <w:szCs w:val="18"/>
              </w:rPr>
              <w:t xml:space="preserve"> – 22. </w:t>
            </w:r>
          </w:p>
          <w:p w14:paraId="32F9A38D" w14:textId="77777777" w:rsidR="00875081" w:rsidRDefault="00727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Cond. 2</w:t>
            </w:r>
            <w:r w:rsidR="0039253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: Area shown in Attachment 3 to the conditions is </w:t>
            </w:r>
            <w:r w:rsidR="00504DDF">
              <w:rPr>
                <w:rFonts w:ascii="Arial" w:hAnsi="Arial" w:cs="Arial"/>
                <w:sz w:val="18"/>
                <w:szCs w:val="18"/>
              </w:rPr>
              <w:t>intended to be approved if Fast-track approval is granted so a PSE</w:t>
            </w:r>
            <w:r w:rsidR="00FB352C">
              <w:rPr>
                <w:rFonts w:ascii="Arial" w:hAnsi="Arial" w:cs="Arial"/>
                <w:sz w:val="18"/>
                <w:szCs w:val="18"/>
              </w:rPr>
              <w:t xml:space="preserve">AR is not required for that area. </w:t>
            </w:r>
          </w:p>
          <w:p w14:paraId="71D0FC86" w14:textId="53ED6D2C" w:rsidR="005C23BC" w:rsidRDefault="005C2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 22: </w:t>
            </w:r>
            <w:r w:rsidR="009E0C6D">
              <w:rPr>
                <w:rFonts w:ascii="Arial" w:hAnsi="Arial" w:cs="Arial"/>
                <w:sz w:val="18"/>
                <w:szCs w:val="18"/>
              </w:rPr>
              <w:t>Must complete a PSEAR for any cell not covered in 21 or if extraction in the approved area hasn’t commenced before 1 April 2027.</w:t>
            </w:r>
          </w:p>
          <w:p w14:paraId="4D84A0DE" w14:textId="19A37C99" w:rsidR="00E36836" w:rsidRPr="000E73A7" w:rsidRDefault="00E36836" w:rsidP="00AE2E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pct"/>
          </w:tcPr>
          <w:p w14:paraId="7126FE5A" w14:textId="2FF071F9" w:rsidR="00E83806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Cond. </w:t>
            </w:r>
            <w:r w:rsidR="000C7EF8">
              <w:rPr>
                <w:rFonts w:ascii="Arial" w:hAnsi="Arial" w:cs="Arial"/>
                <w:sz w:val="18"/>
                <w:szCs w:val="18"/>
              </w:rPr>
              <w:t xml:space="preserve">38 - </w:t>
            </w:r>
            <w:r w:rsidRPr="000E73A7">
              <w:rPr>
                <w:rFonts w:ascii="Arial" w:hAnsi="Arial" w:cs="Arial"/>
                <w:sz w:val="18"/>
                <w:szCs w:val="18"/>
              </w:rPr>
              <w:t>3</w:t>
            </w:r>
            <w:r w:rsidR="004C083A">
              <w:rPr>
                <w:rFonts w:ascii="Arial" w:hAnsi="Arial" w:cs="Arial"/>
                <w:sz w:val="18"/>
                <w:szCs w:val="18"/>
              </w:rPr>
              <w:t>9</w:t>
            </w:r>
            <w:r w:rsidRPr="000E73A7">
              <w:rPr>
                <w:rFonts w:ascii="Arial" w:hAnsi="Arial" w:cs="Arial"/>
                <w:sz w:val="18"/>
                <w:szCs w:val="18"/>
              </w:rPr>
              <w:t xml:space="preserve"> framework</w:t>
            </w:r>
            <w:r w:rsidR="001359F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1C326C" w14:textId="39B611E9" w:rsidR="001359FF" w:rsidRPr="000E73A7" w:rsidRDefault="00135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Focus is more on physical </w:t>
            </w:r>
            <w:r w:rsidR="00187F6F">
              <w:rPr>
                <w:rFonts w:ascii="Arial" w:hAnsi="Arial" w:cs="Arial"/>
                <w:sz w:val="18"/>
                <w:szCs w:val="18"/>
              </w:rPr>
              <w:t>features</w:t>
            </w:r>
            <w:r w:rsidR="00C60240">
              <w:rPr>
                <w:rFonts w:ascii="Arial" w:hAnsi="Arial" w:cs="Arial"/>
                <w:sz w:val="18"/>
                <w:szCs w:val="18"/>
              </w:rPr>
              <w:t xml:space="preserve"> rather than </w:t>
            </w:r>
            <w:r w:rsidR="00045C75">
              <w:rPr>
                <w:rFonts w:ascii="Arial" w:hAnsi="Arial" w:cs="Arial"/>
                <w:sz w:val="18"/>
                <w:szCs w:val="18"/>
              </w:rPr>
              <w:t xml:space="preserve">biodiversity. </w:t>
            </w:r>
          </w:p>
        </w:tc>
        <w:tc>
          <w:tcPr>
            <w:tcW w:w="1240" w:type="pct"/>
          </w:tcPr>
          <w:p w14:paraId="19702FFD" w14:textId="2E9A23BB" w:rsidR="006D4E2E" w:rsidRDefault="00045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Bream Bay proposed conditions </w:t>
            </w:r>
            <w:r w:rsidR="003B0ED6">
              <w:rPr>
                <w:rFonts w:ascii="Arial" w:hAnsi="Arial" w:cs="Arial"/>
                <w:sz w:val="18"/>
                <w:szCs w:val="18"/>
              </w:rPr>
              <w:t>inco</w:t>
            </w:r>
            <w:r w:rsidR="00D1442C">
              <w:rPr>
                <w:rFonts w:ascii="Arial" w:hAnsi="Arial" w:cs="Arial"/>
                <w:sz w:val="18"/>
                <w:szCs w:val="18"/>
              </w:rPr>
              <w:t>rporate</w:t>
            </w:r>
            <w:r w:rsidR="000C5D13">
              <w:rPr>
                <w:rFonts w:ascii="Arial" w:hAnsi="Arial" w:cs="Arial"/>
                <w:sz w:val="18"/>
                <w:szCs w:val="18"/>
              </w:rPr>
              <w:t xml:space="preserve"> a method to a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void impacts before extraction occurs</w:t>
            </w:r>
            <w:r w:rsidR="007E56F1">
              <w:rPr>
                <w:rFonts w:ascii="Arial" w:hAnsi="Arial" w:cs="Arial"/>
                <w:sz w:val="18"/>
                <w:szCs w:val="18"/>
              </w:rPr>
              <w:t xml:space="preserve">, and </w:t>
            </w:r>
            <w:proofErr w:type="gramStart"/>
            <w:r w:rsidR="007E56F1">
              <w:rPr>
                <w:rFonts w:ascii="Arial" w:hAnsi="Arial" w:cs="Arial"/>
                <w:sz w:val="18"/>
                <w:szCs w:val="18"/>
              </w:rPr>
              <w:t>them</w:t>
            </w:r>
            <w:proofErr w:type="gramEnd"/>
            <w:r w:rsidR="007E56F1">
              <w:rPr>
                <w:rFonts w:ascii="Arial" w:hAnsi="Arial" w:cs="Arial"/>
                <w:sz w:val="18"/>
                <w:szCs w:val="18"/>
              </w:rPr>
              <w:t xml:space="preserve"> employs a</w:t>
            </w:r>
            <w:r w:rsidR="00EA14EF">
              <w:rPr>
                <w:rFonts w:ascii="Arial" w:hAnsi="Arial" w:cs="Arial"/>
                <w:sz w:val="18"/>
                <w:szCs w:val="18"/>
              </w:rPr>
              <w:t>n a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void remedy mitigate hierarchy</w:t>
            </w:r>
            <w:r w:rsidR="003348C8">
              <w:rPr>
                <w:rFonts w:ascii="Arial" w:hAnsi="Arial" w:cs="Arial"/>
                <w:sz w:val="18"/>
                <w:szCs w:val="18"/>
              </w:rPr>
              <w:t>.</w:t>
            </w:r>
            <w:r w:rsidR="00DC1648">
              <w:rPr>
                <w:rFonts w:ascii="Arial" w:hAnsi="Arial" w:cs="Arial"/>
                <w:sz w:val="18"/>
                <w:szCs w:val="18"/>
              </w:rPr>
              <w:t xml:space="preserve"> They also ensure </w:t>
            </w:r>
            <w:r w:rsidR="006D4E2E">
              <w:rPr>
                <w:rFonts w:ascii="Arial" w:hAnsi="Arial" w:cs="Arial"/>
                <w:sz w:val="18"/>
                <w:szCs w:val="18"/>
              </w:rPr>
              <w:t>renewed assessment after extended periods</w:t>
            </w:r>
            <w:r w:rsidR="00F5268A">
              <w:rPr>
                <w:rFonts w:ascii="Arial" w:hAnsi="Arial" w:cs="Arial"/>
                <w:sz w:val="18"/>
                <w:szCs w:val="18"/>
              </w:rPr>
              <w:t xml:space="preserve"> of no extraction</w:t>
            </w:r>
            <w:r w:rsidR="00DC1648">
              <w:rPr>
                <w:rFonts w:ascii="Arial" w:hAnsi="Arial" w:cs="Arial"/>
                <w:sz w:val="18"/>
                <w:szCs w:val="18"/>
              </w:rPr>
              <w:t xml:space="preserve"> prior to recommencing</w:t>
            </w:r>
            <w:r w:rsidR="006373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C747E6" w14:textId="0998BEAC" w:rsidR="00235C31" w:rsidRPr="000E73A7" w:rsidRDefault="00235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3806" w:rsidRPr="000E73A7" w14:paraId="400AE43F" w14:textId="77777777" w:rsidTr="00E83806">
        <w:tc>
          <w:tcPr>
            <w:tcW w:w="903" w:type="pct"/>
          </w:tcPr>
          <w:p w14:paraId="51C9751A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Ecological exclusion rules</w:t>
            </w:r>
          </w:p>
        </w:tc>
        <w:tc>
          <w:tcPr>
            <w:tcW w:w="1402" w:type="pct"/>
          </w:tcPr>
          <w:p w14:paraId="6C9F4A1F" w14:textId="77777777" w:rsidR="00E83806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Cond. 20 (detailed exclusions)</w:t>
            </w:r>
          </w:p>
          <w:p w14:paraId="389E40E2" w14:textId="77D84461" w:rsidR="005C6BE7" w:rsidRPr="000E73A7" w:rsidRDefault="005C6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Defines five scenarios w</w:t>
            </w:r>
            <w:r w:rsidR="0024135D">
              <w:rPr>
                <w:rFonts w:ascii="Arial" w:hAnsi="Arial" w:cs="Arial"/>
                <w:sz w:val="18"/>
                <w:szCs w:val="18"/>
              </w:rPr>
              <w:t>here</w:t>
            </w:r>
            <w:r w:rsidR="005124CF">
              <w:rPr>
                <w:rFonts w:ascii="Arial" w:hAnsi="Arial" w:cs="Arial"/>
                <w:sz w:val="18"/>
                <w:szCs w:val="18"/>
              </w:rPr>
              <w:t>by extraction cannot proceed.</w:t>
            </w:r>
          </w:p>
        </w:tc>
        <w:tc>
          <w:tcPr>
            <w:tcW w:w="1455" w:type="pct"/>
          </w:tcPr>
          <w:p w14:paraId="5B9B89A1" w14:textId="77777777" w:rsidR="00E83806" w:rsidRDefault="00D22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Cond. 17</w:t>
            </w:r>
            <w:r w:rsidR="007B11F6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General exclusions</w:t>
            </w:r>
          </w:p>
          <w:p w14:paraId="2A2C0129" w14:textId="0AEFC57A" w:rsidR="005124CF" w:rsidRPr="000E73A7" w:rsidRDefault="00512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Defines three scenarios whereby extraction cannot proceed.</w:t>
            </w:r>
          </w:p>
        </w:tc>
        <w:tc>
          <w:tcPr>
            <w:tcW w:w="1240" w:type="pct"/>
          </w:tcPr>
          <w:p w14:paraId="75353A50" w14:textId="6BE2502B" w:rsidR="00E83806" w:rsidRPr="000E73A7" w:rsidRDefault="00EB65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Bream Bay conditions i</w:t>
            </w:r>
            <w:r w:rsidR="00C11ECA">
              <w:rPr>
                <w:rFonts w:ascii="Arial" w:hAnsi="Arial" w:cs="Arial"/>
                <w:sz w:val="18"/>
                <w:szCs w:val="18"/>
              </w:rPr>
              <w:t>ntroduce two new matters where extraction cannot be undertaken</w:t>
            </w:r>
            <w:r>
              <w:rPr>
                <w:rFonts w:ascii="Arial" w:hAnsi="Arial" w:cs="Arial"/>
                <w:sz w:val="18"/>
                <w:szCs w:val="18"/>
              </w:rPr>
              <w:t xml:space="preserve">, providing </w:t>
            </w:r>
            <w:r w:rsidR="00561858">
              <w:rPr>
                <w:rFonts w:ascii="Arial" w:hAnsi="Arial" w:cs="Arial"/>
                <w:sz w:val="18"/>
                <w:szCs w:val="18"/>
              </w:rPr>
              <w:t>i</w:t>
            </w:r>
            <w:r w:rsidR="00204288">
              <w:rPr>
                <w:rFonts w:ascii="Arial" w:hAnsi="Arial" w:cs="Arial"/>
                <w:sz w:val="18"/>
                <w:szCs w:val="18"/>
              </w:rPr>
              <w:t>ncreased d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irect protection of benthic habitats</w:t>
            </w:r>
            <w:r w:rsidR="00561858">
              <w:rPr>
                <w:rFonts w:ascii="Arial" w:hAnsi="Arial" w:cs="Arial"/>
                <w:sz w:val="18"/>
                <w:szCs w:val="18"/>
              </w:rPr>
              <w:t>, and i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 xml:space="preserve">ndigenous biodiversity protection </w:t>
            </w:r>
            <w:r w:rsidR="002C12B6">
              <w:rPr>
                <w:rFonts w:ascii="Arial" w:hAnsi="Arial" w:cs="Arial"/>
                <w:sz w:val="18"/>
                <w:szCs w:val="18"/>
              </w:rPr>
              <w:t xml:space="preserve">in accordance with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(s6(c))</w:t>
            </w:r>
            <w:r w:rsidR="005D2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12B6">
              <w:rPr>
                <w:rFonts w:ascii="Arial" w:hAnsi="Arial" w:cs="Arial"/>
                <w:sz w:val="18"/>
                <w:szCs w:val="18"/>
              </w:rPr>
              <w:lastRenderedPageBreak/>
              <w:t>RMA.</w:t>
            </w:r>
          </w:p>
        </w:tc>
      </w:tr>
      <w:tr w:rsidR="00E83806" w:rsidRPr="000E73A7" w14:paraId="63D02307" w14:textId="77777777" w:rsidTr="00E83806">
        <w:tc>
          <w:tcPr>
            <w:tcW w:w="903" w:type="pct"/>
          </w:tcPr>
          <w:p w14:paraId="7CE32BD6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lastRenderedPageBreak/>
              <w:t>Turbidity plume limit</w:t>
            </w:r>
          </w:p>
        </w:tc>
        <w:tc>
          <w:tcPr>
            <w:tcW w:w="1402" w:type="pct"/>
          </w:tcPr>
          <w:p w14:paraId="3215A09C" w14:textId="6A0E3FE9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Cond. </w:t>
            </w:r>
            <w:r w:rsidR="000056C3" w:rsidRPr="000E73A7">
              <w:rPr>
                <w:rFonts w:ascii="Arial" w:hAnsi="Arial" w:cs="Arial"/>
                <w:sz w:val="18"/>
                <w:szCs w:val="18"/>
              </w:rPr>
              <w:t>3</w:t>
            </w:r>
            <w:r w:rsidR="005147E1">
              <w:rPr>
                <w:rFonts w:ascii="Arial" w:hAnsi="Arial" w:cs="Arial"/>
                <w:sz w:val="18"/>
                <w:szCs w:val="18"/>
              </w:rPr>
              <w:t>1</w:t>
            </w:r>
            <w:r w:rsidR="009354E2">
              <w:rPr>
                <w:rFonts w:ascii="Arial" w:hAnsi="Arial" w:cs="Arial"/>
                <w:sz w:val="18"/>
                <w:szCs w:val="18"/>
              </w:rPr>
              <w:t xml:space="preserve"> ensures </w:t>
            </w:r>
            <w:r w:rsidR="000D7C62">
              <w:rPr>
                <w:rFonts w:ascii="Arial" w:hAnsi="Arial" w:cs="Arial"/>
                <w:sz w:val="18"/>
                <w:szCs w:val="18"/>
              </w:rPr>
              <w:t xml:space="preserve">the turbidity level in the upper </w:t>
            </w:r>
            <w:r w:rsidR="00852D05">
              <w:rPr>
                <w:rFonts w:ascii="Arial" w:hAnsi="Arial" w:cs="Arial"/>
                <w:sz w:val="18"/>
                <w:szCs w:val="18"/>
              </w:rPr>
              <w:t xml:space="preserve">2 - </w:t>
            </w:r>
            <w:r w:rsidR="000D7C62">
              <w:rPr>
                <w:rFonts w:ascii="Arial" w:hAnsi="Arial" w:cs="Arial"/>
                <w:sz w:val="18"/>
                <w:szCs w:val="18"/>
              </w:rPr>
              <w:t>5 m of</w:t>
            </w:r>
            <w:r w:rsidR="00AF3B7A">
              <w:rPr>
                <w:rFonts w:ascii="Arial" w:hAnsi="Arial" w:cs="Arial"/>
                <w:sz w:val="18"/>
                <w:szCs w:val="18"/>
              </w:rPr>
              <w:t xml:space="preserve"> the water column and within 500 m of the extraction vessel</w:t>
            </w:r>
            <w:r w:rsidR="00771BE8">
              <w:rPr>
                <w:rFonts w:ascii="Arial" w:hAnsi="Arial" w:cs="Arial"/>
                <w:sz w:val="18"/>
                <w:szCs w:val="18"/>
              </w:rPr>
              <w:t xml:space="preserve"> must be within </w:t>
            </w:r>
            <w:r w:rsidRPr="000E73A7">
              <w:rPr>
                <w:rFonts w:ascii="Arial" w:hAnsi="Arial" w:cs="Arial"/>
                <w:sz w:val="18"/>
                <w:szCs w:val="18"/>
              </w:rPr>
              <w:t>≤2 NTU</w:t>
            </w:r>
            <w:r w:rsidR="00771BE8">
              <w:rPr>
                <w:rFonts w:ascii="Arial" w:hAnsi="Arial" w:cs="Arial"/>
                <w:sz w:val="18"/>
                <w:szCs w:val="18"/>
              </w:rPr>
              <w:t xml:space="preserve"> of the background</w:t>
            </w:r>
            <w:r w:rsidR="00E15E03">
              <w:rPr>
                <w:rFonts w:ascii="Arial" w:hAnsi="Arial" w:cs="Arial"/>
                <w:sz w:val="18"/>
                <w:szCs w:val="18"/>
              </w:rPr>
              <w:t xml:space="preserve"> water turbidity</w:t>
            </w:r>
            <w:r w:rsidR="009D7560">
              <w:rPr>
                <w:rFonts w:ascii="Arial" w:hAnsi="Arial" w:cs="Arial"/>
                <w:sz w:val="18"/>
                <w:szCs w:val="18"/>
              </w:rPr>
              <w:t>.</w:t>
            </w:r>
            <w:r w:rsidRPr="000E73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pct"/>
          </w:tcPr>
          <w:p w14:paraId="02BF61DC" w14:textId="24238E4E" w:rsidR="00E83806" w:rsidRPr="000E73A7" w:rsidRDefault="00C32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included</w:t>
            </w:r>
          </w:p>
        </w:tc>
        <w:tc>
          <w:tcPr>
            <w:tcW w:w="1240" w:type="pct"/>
          </w:tcPr>
          <w:p w14:paraId="03DEFE78" w14:textId="16252916" w:rsidR="00B7211E" w:rsidRDefault="008956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="00357963">
              <w:rPr>
                <w:rFonts w:ascii="Arial" w:hAnsi="Arial" w:cs="Arial"/>
                <w:sz w:val="18"/>
                <w:szCs w:val="18"/>
              </w:rPr>
              <w:t xml:space="preserve"> proposed Bream Bay conditions introduce </w:t>
            </w:r>
            <w:r w:rsidR="00852D05">
              <w:rPr>
                <w:rFonts w:ascii="Arial" w:hAnsi="Arial" w:cs="Arial"/>
                <w:sz w:val="18"/>
                <w:szCs w:val="18"/>
              </w:rPr>
              <w:t xml:space="preserve">the requirement to measure </w:t>
            </w:r>
            <w:proofErr w:type="gramStart"/>
            <w:r w:rsidR="00852D05">
              <w:rPr>
                <w:rFonts w:ascii="Arial" w:hAnsi="Arial" w:cs="Arial"/>
                <w:sz w:val="18"/>
                <w:szCs w:val="18"/>
              </w:rPr>
              <w:t>turbidity,</w:t>
            </w:r>
            <w:proofErr w:type="gramEnd"/>
            <w:r w:rsidR="00852D05">
              <w:rPr>
                <w:rFonts w:ascii="Arial" w:hAnsi="Arial" w:cs="Arial"/>
                <w:sz w:val="18"/>
                <w:szCs w:val="18"/>
              </w:rPr>
              <w:t xml:space="preserve"> however it does not </w:t>
            </w:r>
            <w:r w:rsidR="00EC1C48">
              <w:rPr>
                <w:rFonts w:ascii="Arial" w:hAnsi="Arial" w:cs="Arial"/>
                <w:sz w:val="18"/>
                <w:szCs w:val="18"/>
              </w:rPr>
              <w:t xml:space="preserve">state an outcome if levels are exceeded. The </w:t>
            </w:r>
            <w:r w:rsidR="00DE681C">
              <w:rPr>
                <w:rFonts w:ascii="Arial" w:hAnsi="Arial" w:cs="Arial"/>
                <w:sz w:val="18"/>
                <w:szCs w:val="18"/>
              </w:rPr>
              <w:t>range of 2 – 5 m of water column introduces</w:t>
            </w:r>
            <w:r w:rsidR="00874E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F53">
              <w:rPr>
                <w:rFonts w:ascii="Arial" w:hAnsi="Arial" w:cs="Arial"/>
                <w:sz w:val="18"/>
                <w:szCs w:val="18"/>
              </w:rPr>
              <w:t>ambiguity</w:t>
            </w:r>
            <w:r w:rsidR="00631C92">
              <w:rPr>
                <w:rFonts w:ascii="Arial" w:hAnsi="Arial" w:cs="Arial"/>
                <w:sz w:val="18"/>
                <w:szCs w:val="18"/>
              </w:rPr>
              <w:t>, recommend 5 m as an absolut</w:t>
            </w:r>
            <w:r w:rsidR="006D6986">
              <w:rPr>
                <w:rFonts w:ascii="Arial" w:hAnsi="Arial" w:cs="Arial"/>
                <w:sz w:val="18"/>
                <w:szCs w:val="18"/>
              </w:rPr>
              <w:t>e</w:t>
            </w:r>
            <w:r w:rsidR="00631C92">
              <w:rPr>
                <w:rFonts w:ascii="Arial" w:hAnsi="Arial" w:cs="Arial"/>
                <w:sz w:val="18"/>
                <w:szCs w:val="18"/>
              </w:rPr>
              <w:t xml:space="preserve"> depth</w:t>
            </w:r>
            <w:r w:rsidR="00B7211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319D897" w14:textId="664995CB" w:rsidR="00E83806" w:rsidRPr="000E73A7" w:rsidRDefault="00B721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Proposed condition </w:t>
            </w:r>
            <w:r w:rsidR="001C09AA">
              <w:rPr>
                <w:rFonts w:ascii="Arial" w:hAnsi="Arial" w:cs="Arial"/>
                <w:sz w:val="18"/>
                <w:szCs w:val="18"/>
              </w:rPr>
              <w:t xml:space="preserve">intends to </w:t>
            </w:r>
            <w:r w:rsidR="00A764E8">
              <w:rPr>
                <w:rFonts w:ascii="Arial" w:hAnsi="Arial" w:cs="Arial"/>
                <w:sz w:val="18"/>
                <w:szCs w:val="18"/>
              </w:rPr>
              <w:t>c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onstrain water quality effects</w:t>
            </w:r>
            <w:r w:rsidR="00606504">
              <w:rPr>
                <w:rFonts w:ascii="Arial" w:hAnsi="Arial" w:cs="Arial"/>
                <w:sz w:val="18"/>
                <w:szCs w:val="18"/>
              </w:rPr>
              <w:t xml:space="preserve"> in accordance </w:t>
            </w:r>
            <w:proofErr w:type="gramStart"/>
            <w:r w:rsidR="00606504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4412" w:rsidRPr="000E73A7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  <w:r w:rsidR="000E4412" w:rsidRPr="000E73A7">
              <w:rPr>
                <w:rFonts w:ascii="Arial" w:hAnsi="Arial" w:cs="Arial"/>
                <w:sz w:val="18"/>
                <w:szCs w:val="18"/>
              </w:rPr>
              <w:t>10</w:t>
            </w:r>
            <w:r w:rsidR="000E4412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="00606504">
              <w:rPr>
                <w:rFonts w:ascii="Arial" w:hAnsi="Arial" w:cs="Arial"/>
                <w:sz w:val="18"/>
                <w:szCs w:val="18"/>
              </w:rPr>
              <w:t>RMA.</w:t>
            </w:r>
          </w:p>
        </w:tc>
      </w:tr>
      <w:tr w:rsidR="00E83806" w:rsidRPr="000E73A7" w14:paraId="535FE6FA" w14:textId="77777777" w:rsidTr="00E83806">
        <w:tc>
          <w:tcPr>
            <w:tcW w:w="903" w:type="pct"/>
          </w:tcPr>
          <w:p w14:paraId="42DCA51E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Marine mammals</w:t>
            </w:r>
          </w:p>
        </w:tc>
        <w:tc>
          <w:tcPr>
            <w:tcW w:w="1402" w:type="pct"/>
          </w:tcPr>
          <w:p w14:paraId="58FB6FBD" w14:textId="699D6758" w:rsidR="00E83806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Cond. </w:t>
            </w:r>
            <w:r w:rsidR="00A560D5" w:rsidRPr="000E73A7">
              <w:rPr>
                <w:rFonts w:ascii="Arial" w:hAnsi="Arial" w:cs="Arial"/>
                <w:sz w:val="18"/>
                <w:szCs w:val="18"/>
              </w:rPr>
              <w:t>2</w:t>
            </w:r>
            <w:r w:rsidR="00A059B8">
              <w:rPr>
                <w:rFonts w:ascii="Arial" w:hAnsi="Arial" w:cs="Arial"/>
                <w:sz w:val="18"/>
                <w:szCs w:val="18"/>
              </w:rPr>
              <w:t>6</w:t>
            </w:r>
            <w:r w:rsidR="00A560D5" w:rsidRPr="000E73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73A7">
              <w:rPr>
                <w:rFonts w:ascii="Arial" w:hAnsi="Arial" w:cs="Arial"/>
                <w:sz w:val="18"/>
                <w:szCs w:val="18"/>
              </w:rPr>
              <w:t>+ MMMP</w:t>
            </w:r>
          </w:p>
          <w:p w14:paraId="25B754E7" w14:textId="0CB3D1D7" w:rsidR="0042643E" w:rsidRPr="000E73A7" w:rsidRDefault="004264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condition outlines </w:t>
            </w:r>
            <w:r w:rsidR="0090324D">
              <w:rPr>
                <w:rFonts w:ascii="Arial" w:hAnsi="Arial" w:cs="Arial"/>
                <w:sz w:val="18"/>
                <w:szCs w:val="18"/>
              </w:rPr>
              <w:t xml:space="preserve">methods to </w:t>
            </w:r>
            <w:r w:rsidR="00777F09">
              <w:rPr>
                <w:rFonts w:ascii="Arial" w:hAnsi="Arial" w:cs="Arial"/>
                <w:sz w:val="18"/>
                <w:szCs w:val="18"/>
              </w:rPr>
              <w:t>maintain distance</w:t>
            </w:r>
            <w:r w:rsidR="004D04D2">
              <w:rPr>
                <w:rFonts w:ascii="Arial" w:hAnsi="Arial" w:cs="Arial"/>
                <w:sz w:val="18"/>
                <w:szCs w:val="18"/>
              </w:rPr>
              <w:t xml:space="preserve"> from </w:t>
            </w:r>
            <w:r w:rsidR="008A56D3">
              <w:rPr>
                <w:rFonts w:ascii="Arial" w:hAnsi="Arial" w:cs="Arial"/>
                <w:sz w:val="18"/>
                <w:szCs w:val="18"/>
              </w:rPr>
              <w:t xml:space="preserve">‘large </w:t>
            </w:r>
            <w:r w:rsidR="004D04D2">
              <w:rPr>
                <w:rFonts w:ascii="Arial" w:hAnsi="Arial" w:cs="Arial"/>
                <w:sz w:val="18"/>
                <w:szCs w:val="18"/>
              </w:rPr>
              <w:t>whale</w:t>
            </w:r>
            <w:r w:rsidR="00C8362F">
              <w:rPr>
                <w:rFonts w:ascii="Arial" w:hAnsi="Arial" w:cs="Arial"/>
                <w:sz w:val="18"/>
                <w:szCs w:val="18"/>
              </w:rPr>
              <w:t>s</w:t>
            </w:r>
            <w:r w:rsidR="008A56D3">
              <w:rPr>
                <w:rFonts w:ascii="Arial" w:hAnsi="Arial" w:cs="Arial"/>
                <w:sz w:val="18"/>
                <w:szCs w:val="18"/>
              </w:rPr>
              <w:t>’ (killer whale size or larger). It is silent on smaller whales and other marine mammals.</w:t>
            </w:r>
          </w:p>
        </w:tc>
        <w:tc>
          <w:tcPr>
            <w:tcW w:w="1455" w:type="pct"/>
          </w:tcPr>
          <w:p w14:paraId="0540F611" w14:textId="3DC7A004" w:rsidR="00E83806" w:rsidRPr="000E73A7" w:rsidRDefault="00C22C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Cond. 33</w:t>
            </w:r>
            <w:r w:rsidR="00A4236C">
              <w:rPr>
                <w:rFonts w:ascii="Arial" w:hAnsi="Arial" w:cs="Arial"/>
                <w:sz w:val="18"/>
                <w:szCs w:val="18"/>
              </w:rPr>
              <w:t xml:space="preserve"> – 34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MMMP (less detailed)</w:t>
            </w:r>
          </w:p>
        </w:tc>
        <w:tc>
          <w:tcPr>
            <w:tcW w:w="1240" w:type="pct"/>
          </w:tcPr>
          <w:p w14:paraId="75B82F0F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Reduces strike/disturbance risk</w:t>
            </w:r>
          </w:p>
          <w:p w14:paraId="282C9CFB" w14:textId="35F25340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Protection of fauna; Wildlife Act interface</w:t>
            </w:r>
          </w:p>
        </w:tc>
      </w:tr>
      <w:tr w:rsidR="00E83806" w:rsidRPr="000E73A7" w14:paraId="03E9BE47" w14:textId="77777777" w:rsidTr="00E83806">
        <w:tc>
          <w:tcPr>
            <w:tcW w:w="903" w:type="pct"/>
          </w:tcPr>
          <w:p w14:paraId="212CF60A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Seabird / lighting</w:t>
            </w:r>
          </w:p>
        </w:tc>
        <w:tc>
          <w:tcPr>
            <w:tcW w:w="1402" w:type="pct"/>
          </w:tcPr>
          <w:p w14:paraId="54E7A2B7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Cond. 19, 27 (LMP + logs)</w:t>
            </w:r>
          </w:p>
        </w:tc>
        <w:tc>
          <w:tcPr>
            <w:tcW w:w="1455" w:type="pct"/>
          </w:tcPr>
          <w:p w14:paraId="555A3273" w14:textId="245A94F9" w:rsidR="00E83806" w:rsidRPr="000E73A7" w:rsidRDefault="008B05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Cond. 53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Lighting condition</w:t>
            </w:r>
            <w:r w:rsidR="00A517A3">
              <w:rPr>
                <w:rFonts w:ascii="Arial" w:hAnsi="Arial" w:cs="Arial"/>
                <w:sz w:val="18"/>
                <w:szCs w:val="18"/>
              </w:rPr>
              <w:t xml:space="preserve"> is generic and requires </w:t>
            </w:r>
            <w:r w:rsidR="00612D40">
              <w:rPr>
                <w:rFonts w:ascii="Arial" w:hAnsi="Arial" w:cs="Arial"/>
                <w:sz w:val="18"/>
                <w:szCs w:val="18"/>
              </w:rPr>
              <w:t>lighting to be inward and downward facing.</w:t>
            </w:r>
          </w:p>
        </w:tc>
        <w:tc>
          <w:tcPr>
            <w:tcW w:w="1240" w:type="pct"/>
          </w:tcPr>
          <w:p w14:paraId="2F799260" w14:textId="77777777" w:rsidR="00592DAD" w:rsidRDefault="007E4E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81E85">
              <w:rPr>
                <w:rFonts w:ascii="Arial" w:hAnsi="Arial" w:cs="Arial"/>
                <w:sz w:val="18"/>
                <w:szCs w:val="18"/>
              </w:rPr>
              <w:t>Bream Bay</w:t>
            </w:r>
            <w:r>
              <w:rPr>
                <w:rFonts w:ascii="Arial" w:hAnsi="Arial" w:cs="Arial"/>
                <w:sz w:val="18"/>
                <w:szCs w:val="18"/>
              </w:rPr>
              <w:t xml:space="preserve"> conditions</w:t>
            </w:r>
            <w:r w:rsidR="00A81E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142F">
              <w:rPr>
                <w:rFonts w:ascii="Arial" w:hAnsi="Arial" w:cs="Arial"/>
                <w:sz w:val="18"/>
                <w:szCs w:val="18"/>
              </w:rPr>
              <w:t>introduce</w:t>
            </w:r>
            <w:r w:rsidR="00A81E85">
              <w:rPr>
                <w:rFonts w:ascii="Arial" w:hAnsi="Arial" w:cs="Arial"/>
                <w:sz w:val="18"/>
                <w:szCs w:val="18"/>
              </w:rPr>
              <w:t xml:space="preserve"> a Lighting Management </w:t>
            </w:r>
            <w:proofErr w:type="gramStart"/>
            <w:r w:rsidR="00A81E85">
              <w:rPr>
                <w:rFonts w:ascii="Arial" w:hAnsi="Arial" w:cs="Arial"/>
                <w:sz w:val="18"/>
                <w:szCs w:val="18"/>
              </w:rPr>
              <w:t>Plan</w:t>
            </w:r>
            <w:r w:rsidR="009027D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738B">
              <w:rPr>
                <w:rFonts w:ascii="Arial" w:hAnsi="Arial" w:cs="Arial"/>
                <w:sz w:val="18"/>
                <w:szCs w:val="18"/>
              </w:rPr>
              <w:t>but</w:t>
            </w:r>
            <w:proofErr w:type="gramEnd"/>
            <w:r w:rsidR="0041738B">
              <w:rPr>
                <w:rFonts w:ascii="Arial" w:hAnsi="Arial" w:cs="Arial"/>
                <w:sz w:val="18"/>
                <w:szCs w:val="18"/>
              </w:rPr>
              <w:t xml:space="preserve"> is only slightly more detailed than the </w:t>
            </w:r>
            <w:proofErr w:type="spellStart"/>
            <w:r w:rsidR="0041738B">
              <w:rPr>
                <w:rFonts w:ascii="Arial" w:hAnsi="Arial" w:cs="Arial"/>
                <w:sz w:val="18"/>
                <w:szCs w:val="18"/>
              </w:rPr>
              <w:t>Pakiri</w:t>
            </w:r>
            <w:proofErr w:type="spellEnd"/>
            <w:r w:rsidR="0041738B">
              <w:rPr>
                <w:rFonts w:ascii="Arial" w:hAnsi="Arial" w:cs="Arial"/>
                <w:sz w:val="18"/>
                <w:szCs w:val="18"/>
              </w:rPr>
              <w:t xml:space="preserve"> conditions. </w:t>
            </w:r>
            <w:r w:rsidR="00F62B52">
              <w:rPr>
                <w:rFonts w:ascii="Arial" w:hAnsi="Arial" w:cs="Arial"/>
                <w:sz w:val="18"/>
                <w:szCs w:val="18"/>
              </w:rPr>
              <w:t>The LMP requires a log of seabird interactions</w:t>
            </w:r>
            <w:r w:rsidR="002709BE">
              <w:rPr>
                <w:rFonts w:ascii="Arial" w:hAnsi="Arial" w:cs="Arial"/>
                <w:sz w:val="18"/>
                <w:szCs w:val="18"/>
              </w:rPr>
              <w:t xml:space="preserve"> which </w:t>
            </w:r>
            <w:proofErr w:type="gramStart"/>
            <w:r w:rsidR="002709BE">
              <w:rPr>
                <w:rFonts w:ascii="Arial" w:hAnsi="Arial" w:cs="Arial"/>
                <w:sz w:val="18"/>
                <w:szCs w:val="18"/>
              </w:rPr>
              <w:t>is</w:t>
            </w:r>
            <w:proofErr w:type="gramEnd"/>
            <w:r w:rsidR="002709BE">
              <w:rPr>
                <w:rFonts w:ascii="Arial" w:hAnsi="Arial" w:cs="Arial"/>
                <w:sz w:val="18"/>
                <w:szCs w:val="18"/>
              </w:rPr>
              <w:t xml:space="preserve"> replicated in condition 28</w:t>
            </w:r>
            <w:r w:rsidR="00523868">
              <w:rPr>
                <w:rFonts w:ascii="Arial" w:hAnsi="Arial" w:cs="Arial"/>
                <w:sz w:val="18"/>
                <w:szCs w:val="18"/>
              </w:rPr>
              <w:t xml:space="preserve">. Lighting should be considered in conjunction with hours of operation. </w:t>
            </w:r>
          </w:p>
          <w:p w14:paraId="77EBEBFD" w14:textId="3FCE0662" w:rsidR="00E83806" w:rsidRPr="000E73A7" w:rsidRDefault="00592D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</w:t>
            </w:r>
            <w:r w:rsidR="00A04589">
              <w:rPr>
                <w:rFonts w:ascii="Arial" w:hAnsi="Arial" w:cs="Arial"/>
                <w:sz w:val="18"/>
                <w:szCs w:val="18"/>
              </w:rPr>
              <w:t xml:space="preserve"> aims to reduce</w:t>
            </w:r>
            <w:r w:rsidR="002C3A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C3A5F">
              <w:rPr>
                <w:rFonts w:ascii="Arial" w:hAnsi="Arial" w:cs="Arial"/>
                <w:sz w:val="18"/>
                <w:szCs w:val="18"/>
              </w:rPr>
              <w:t>avifauna</w:t>
            </w:r>
            <w:r w:rsidR="00326D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 xml:space="preserve"> mortality</w:t>
            </w:r>
            <w:proofErr w:type="gramEnd"/>
            <w:r w:rsidR="00E83806" w:rsidRPr="000E73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2F3B">
              <w:rPr>
                <w:rFonts w:ascii="Arial" w:hAnsi="Arial" w:cs="Arial"/>
                <w:sz w:val="18"/>
                <w:szCs w:val="18"/>
              </w:rPr>
              <w:t>by management</w:t>
            </w:r>
            <w:r w:rsidR="00A624C2">
              <w:rPr>
                <w:rFonts w:ascii="Arial" w:hAnsi="Arial" w:cs="Arial"/>
                <w:sz w:val="18"/>
                <w:szCs w:val="18"/>
              </w:rPr>
              <w:t xml:space="preserve"> of light</w:t>
            </w:r>
            <w:r w:rsidR="005A2F3B" w:rsidRPr="000E73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lastRenderedPageBreak/>
              <w:t>attraction effects</w:t>
            </w:r>
            <w:r w:rsidR="00A624C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4E5C2B" w14:textId="0237F71E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98F" w:rsidRPr="000E73A7" w14:paraId="3F6B7AE7" w14:textId="77777777" w:rsidTr="00E83806">
        <w:tc>
          <w:tcPr>
            <w:tcW w:w="903" w:type="pct"/>
          </w:tcPr>
          <w:p w14:paraId="1ACB6A2A" w14:textId="23A8E3DC" w:rsidR="0074398F" w:rsidRPr="000E73A7" w:rsidRDefault="00F474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Marine r</w:t>
            </w:r>
            <w:r w:rsidR="0074398F">
              <w:rPr>
                <w:rFonts w:ascii="Arial" w:hAnsi="Arial" w:cs="Arial"/>
                <w:sz w:val="18"/>
                <w:szCs w:val="18"/>
              </w:rPr>
              <w:t>eptiles</w:t>
            </w:r>
          </w:p>
        </w:tc>
        <w:tc>
          <w:tcPr>
            <w:tcW w:w="1402" w:type="pct"/>
          </w:tcPr>
          <w:p w14:paraId="08B49CAF" w14:textId="16245EDC" w:rsidR="0074398F" w:rsidRPr="000E73A7" w:rsidRDefault="000B37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Cond.</w:t>
            </w:r>
            <w:r w:rsidR="00BF2604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4A0195">
              <w:rPr>
                <w:rFonts w:ascii="Arial" w:hAnsi="Arial" w:cs="Arial"/>
                <w:sz w:val="18"/>
                <w:szCs w:val="18"/>
              </w:rPr>
              <w:t>8</w:t>
            </w:r>
            <w:r w:rsidR="00BF2604">
              <w:rPr>
                <w:rFonts w:ascii="Arial" w:hAnsi="Arial" w:cs="Arial"/>
                <w:sz w:val="18"/>
                <w:szCs w:val="18"/>
              </w:rPr>
              <w:t xml:space="preserve"> requires marine reptile sightings to be logged.</w:t>
            </w:r>
          </w:p>
        </w:tc>
        <w:tc>
          <w:tcPr>
            <w:tcW w:w="1455" w:type="pct"/>
          </w:tcPr>
          <w:p w14:paraId="13EBADBC" w14:textId="6022ADD1" w:rsidR="0074398F" w:rsidRPr="000E73A7" w:rsidRDefault="007439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Pakiri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conditions do not</w:t>
            </w:r>
            <w:r w:rsidR="000B3730">
              <w:rPr>
                <w:rFonts w:ascii="Arial" w:hAnsi="Arial" w:cs="Arial"/>
                <w:sz w:val="18"/>
                <w:szCs w:val="18"/>
              </w:rPr>
              <w:t xml:space="preserve"> contemplate marine reptiles</w:t>
            </w:r>
          </w:p>
        </w:tc>
        <w:tc>
          <w:tcPr>
            <w:tcW w:w="1240" w:type="pct"/>
          </w:tcPr>
          <w:p w14:paraId="5374B5B3" w14:textId="2B58117B" w:rsidR="0074398F" w:rsidRPr="000E73A7" w:rsidRDefault="00F474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 does not see a resource management purpose for this condition, however notes that it has been included at the request of Northland Regional Council.</w:t>
            </w:r>
            <w:r w:rsidR="00C362D0">
              <w:rPr>
                <w:rFonts w:ascii="Arial" w:hAnsi="Arial" w:cs="Arial"/>
                <w:sz w:val="18"/>
                <w:szCs w:val="18"/>
              </w:rPr>
              <w:t xml:space="preserve"> May be an Augier condition.</w:t>
            </w:r>
          </w:p>
        </w:tc>
      </w:tr>
      <w:tr w:rsidR="00E83806" w:rsidRPr="000E73A7" w14:paraId="73D6058A" w14:textId="77777777" w:rsidTr="00E83806">
        <w:tc>
          <w:tcPr>
            <w:tcW w:w="903" w:type="pct"/>
          </w:tcPr>
          <w:p w14:paraId="39355554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Operational timing</w:t>
            </w:r>
          </w:p>
        </w:tc>
        <w:tc>
          <w:tcPr>
            <w:tcW w:w="1402" w:type="pct"/>
          </w:tcPr>
          <w:p w14:paraId="4E173F72" w14:textId="380FF11F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Cond. 29 </w:t>
            </w:r>
            <w:r w:rsidR="006D5050">
              <w:rPr>
                <w:rFonts w:ascii="Arial" w:hAnsi="Arial" w:cs="Arial"/>
                <w:sz w:val="18"/>
                <w:szCs w:val="18"/>
              </w:rPr>
              <w:t xml:space="preserve">places </w:t>
            </w:r>
            <w:r w:rsidR="003819AE">
              <w:rPr>
                <w:rFonts w:ascii="Arial" w:hAnsi="Arial" w:cs="Arial"/>
                <w:sz w:val="18"/>
                <w:szCs w:val="18"/>
              </w:rPr>
              <w:t>timing restrictions around operation</w:t>
            </w:r>
            <w:r w:rsidR="0087321D">
              <w:rPr>
                <w:rFonts w:ascii="Arial" w:hAnsi="Arial" w:cs="Arial"/>
                <w:sz w:val="18"/>
                <w:szCs w:val="18"/>
              </w:rPr>
              <w:t>, allowing for later operations during winter months.</w:t>
            </w:r>
          </w:p>
        </w:tc>
        <w:tc>
          <w:tcPr>
            <w:tcW w:w="1455" w:type="pct"/>
          </w:tcPr>
          <w:p w14:paraId="6CE9E0A3" w14:textId="56A20715" w:rsidR="00E83806" w:rsidRPr="000E73A7" w:rsidRDefault="005460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 24 allows for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night time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operations</w:t>
            </w:r>
            <w:r w:rsidR="00E612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0" w:type="pct"/>
          </w:tcPr>
          <w:p w14:paraId="635BC074" w14:textId="660F04A0" w:rsidR="00E83806" w:rsidRPr="000E73A7" w:rsidRDefault="002F0E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Operating time restrictions </w:t>
            </w:r>
            <w:proofErr w:type="gramStart"/>
            <w:r w:rsidR="009A3D94">
              <w:rPr>
                <w:rFonts w:ascii="Arial" w:hAnsi="Arial" w:cs="Arial"/>
                <w:sz w:val="18"/>
                <w:szCs w:val="18"/>
              </w:rPr>
              <w:t xml:space="preserve">manage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 xml:space="preserve"> ecological</w:t>
            </w:r>
            <w:proofErr w:type="gramEnd"/>
            <w:r w:rsidR="00E83806" w:rsidRPr="000E73A7">
              <w:rPr>
                <w:rFonts w:ascii="Arial" w:hAnsi="Arial" w:cs="Arial"/>
                <w:sz w:val="18"/>
                <w:szCs w:val="18"/>
              </w:rPr>
              <w:t xml:space="preserve"> and amenity effects</w:t>
            </w:r>
            <w:r w:rsidR="009A3D9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83806" w:rsidRPr="000E73A7" w14:paraId="6891731C" w14:textId="77777777" w:rsidTr="00E83806">
        <w:tc>
          <w:tcPr>
            <w:tcW w:w="903" w:type="pct"/>
          </w:tcPr>
          <w:p w14:paraId="749F7764" w14:textId="09442606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Noise limits</w:t>
            </w:r>
            <w:r w:rsidR="00E41BCF">
              <w:rPr>
                <w:rFonts w:ascii="Arial" w:hAnsi="Arial" w:cs="Arial"/>
                <w:sz w:val="18"/>
                <w:szCs w:val="18"/>
              </w:rPr>
              <w:t xml:space="preserve"> (above water)</w:t>
            </w:r>
          </w:p>
        </w:tc>
        <w:tc>
          <w:tcPr>
            <w:tcW w:w="1402" w:type="pct"/>
          </w:tcPr>
          <w:p w14:paraId="24B425B3" w14:textId="7B41CE02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Cond. </w:t>
            </w:r>
            <w:r w:rsidR="00182C3D" w:rsidRPr="000E73A7">
              <w:rPr>
                <w:rFonts w:ascii="Arial" w:hAnsi="Arial" w:cs="Arial"/>
                <w:sz w:val="18"/>
                <w:szCs w:val="18"/>
              </w:rPr>
              <w:t>3</w:t>
            </w:r>
            <w:r w:rsidR="00C7362F">
              <w:rPr>
                <w:rFonts w:ascii="Arial" w:hAnsi="Arial" w:cs="Arial"/>
                <w:sz w:val="18"/>
                <w:szCs w:val="18"/>
              </w:rPr>
              <w:t>0</w:t>
            </w:r>
            <w:r w:rsidR="00182C3D" w:rsidRPr="000E73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2C3D">
              <w:rPr>
                <w:rFonts w:ascii="Arial" w:hAnsi="Arial" w:cs="Arial"/>
                <w:sz w:val="18"/>
                <w:szCs w:val="18"/>
              </w:rPr>
              <w:t xml:space="preserve">allows for an upper limit of </w:t>
            </w:r>
            <w:r w:rsidRPr="000E73A7">
              <w:rPr>
                <w:rFonts w:ascii="Arial" w:hAnsi="Arial" w:cs="Arial"/>
                <w:sz w:val="18"/>
                <w:szCs w:val="18"/>
              </w:rPr>
              <w:t>55dB</w:t>
            </w:r>
            <w:r w:rsidR="006140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40EA">
              <w:rPr>
                <w:rFonts w:ascii="Arial" w:hAnsi="Arial" w:cs="Arial"/>
                <w:sz w:val="18"/>
                <w:szCs w:val="18"/>
              </w:rPr>
              <w:t>LAeq</w:t>
            </w:r>
            <w:proofErr w:type="spellEnd"/>
          </w:p>
        </w:tc>
        <w:tc>
          <w:tcPr>
            <w:tcW w:w="1455" w:type="pct"/>
          </w:tcPr>
          <w:p w14:paraId="2E170CEF" w14:textId="69ECBD73" w:rsidR="00E83806" w:rsidRPr="000E73A7" w:rsidRDefault="00FB696E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 xml:space="preserve">Cond. </w:t>
            </w:r>
            <w:r w:rsidR="001959B9">
              <w:rPr>
                <w:rFonts w:ascii="Arial" w:hAnsi="Arial" w:cs="Arial"/>
                <w:sz w:val="18"/>
                <w:szCs w:val="18"/>
              </w:rPr>
              <w:t>52</w:t>
            </w:r>
            <w:r w:rsidRPr="000E73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allows for an upper limit of </w:t>
            </w:r>
            <w:r w:rsidRPr="000E73A7">
              <w:rPr>
                <w:rFonts w:ascii="Arial" w:hAnsi="Arial" w:cs="Arial"/>
                <w:sz w:val="18"/>
                <w:szCs w:val="18"/>
              </w:rPr>
              <w:t>5</w:t>
            </w:r>
            <w:r w:rsidR="001959B9">
              <w:rPr>
                <w:rFonts w:ascii="Arial" w:hAnsi="Arial" w:cs="Arial"/>
                <w:sz w:val="18"/>
                <w:szCs w:val="18"/>
              </w:rPr>
              <w:t>0</w:t>
            </w:r>
            <w:r w:rsidRPr="000E73A7">
              <w:rPr>
                <w:rFonts w:ascii="Arial" w:hAnsi="Arial" w:cs="Arial"/>
                <w:sz w:val="18"/>
                <w:szCs w:val="18"/>
              </w:rPr>
              <w:t>dB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LAeq</w:t>
            </w:r>
            <w:proofErr w:type="spellEnd"/>
          </w:p>
        </w:tc>
        <w:tc>
          <w:tcPr>
            <w:tcW w:w="1240" w:type="pct"/>
          </w:tcPr>
          <w:p w14:paraId="1218A505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Controls coastal noise environment</w:t>
            </w:r>
          </w:p>
          <w:p w14:paraId="4557FC8C" w14:textId="567F643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Amenity + acoustic effects</w:t>
            </w:r>
          </w:p>
        </w:tc>
      </w:tr>
      <w:tr w:rsidR="00E83806" w:rsidRPr="000E73A7" w14:paraId="5E2336B4" w14:textId="77777777" w:rsidTr="00E83806">
        <w:tc>
          <w:tcPr>
            <w:tcW w:w="903" w:type="pct"/>
          </w:tcPr>
          <w:p w14:paraId="2EF9E18C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Monitoring integration</w:t>
            </w:r>
          </w:p>
        </w:tc>
        <w:tc>
          <w:tcPr>
            <w:tcW w:w="1402" w:type="pct"/>
          </w:tcPr>
          <w:p w14:paraId="434E92AC" w14:textId="3A2CDA0A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Cond. 16</w:t>
            </w:r>
            <w:r w:rsidR="00833CBD">
              <w:rPr>
                <w:rFonts w:ascii="Arial" w:hAnsi="Arial" w:cs="Arial"/>
                <w:sz w:val="18"/>
                <w:szCs w:val="18"/>
              </w:rPr>
              <w:t>, EMMP</w:t>
            </w:r>
            <w:r w:rsidRPr="000E73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pct"/>
          </w:tcPr>
          <w:p w14:paraId="385DB005" w14:textId="3E38B247" w:rsidR="00E83806" w:rsidRPr="000E73A7" w:rsidRDefault="002C08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</w:t>
            </w:r>
            <w:r w:rsidR="00E56B52">
              <w:rPr>
                <w:rFonts w:ascii="Arial" w:hAnsi="Arial" w:cs="Arial"/>
                <w:sz w:val="18"/>
                <w:szCs w:val="18"/>
              </w:rPr>
              <w:t xml:space="preserve">’s 25 </w:t>
            </w:r>
            <w:r w:rsidR="00571FDC">
              <w:rPr>
                <w:rFonts w:ascii="Arial" w:hAnsi="Arial" w:cs="Arial"/>
                <w:sz w:val="18"/>
                <w:szCs w:val="18"/>
              </w:rPr>
              <w:t>–</w:t>
            </w:r>
            <w:r w:rsidR="00E56B52">
              <w:rPr>
                <w:rFonts w:ascii="Arial" w:hAnsi="Arial" w:cs="Arial"/>
                <w:sz w:val="18"/>
                <w:szCs w:val="18"/>
              </w:rPr>
              <w:t xml:space="preserve"> 32</w:t>
            </w:r>
            <w:r w:rsidR="00571FD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EMMP less enforceable</w:t>
            </w:r>
          </w:p>
        </w:tc>
        <w:tc>
          <w:tcPr>
            <w:tcW w:w="1240" w:type="pct"/>
          </w:tcPr>
          <w:p w14:paraId="6C869F88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73A7">
              <w:rPr>
                <w:rFonts w:ascii="Arial" w:hAnsi="Arial" w:cs="Arial"/>
                <w:sz w:val="18"/>
                <w:szCs w:val="18"/>
              </w:rPr>
              <w:t>Improves</w:t>
            </w:r>
            <w:proofErr w:type="gramEnd"/>
            <w:r w:rsidRPr="000E73A7">
              <w:rPr>
                <w:rFonts w:ascii="Arial" w:hAnsi="Arial" w:cs="Arial"/>
                <w:sz w:val="18"/>
                <w:szCs w:val="18"/>
              </w:rPr>
              <w:t xml:space="preserve"> detection of cumulative effects</w:t>
            </w:r>
          </w:p>
          <w:p w14:paraId="7D3679FE" w14:textId="03A3036B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Effects monitoring; adaptive loop</w:t>
            </w:r>
          </w:p>
        </w:tc>
      </w:tr>
      <w:tr w:rsidR="00E83806" w:rsidRPr="000E73A7" w14:paraId="7C251B5B" w14:textId="77777777" w:rsidTr="00E83806">
        <w:tc>
          <w:tcPr>
            <w:tcW w:w="903" w:type="pct"/>
          </w:tcPr>
          <w:p w14:paraId="07F69161" w14:textId="65B595BC" w:rsidR="00E83806" w:rsidRPr="000E73A7" w:rsidRDefault="009B50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 extraction</w:t>
            </w:r>
            <w:r w:rsidR="006640A3">
              <w:rPr>
                <w:rFonts w:ascii="Arial" w:hAnsi="Arial" w:cs="Arial"/>
                <w:sz w:val="18"/>
                <w:szCs w:val="18"/>
              </w:rPr>
              <w:t xml:space="preserve"> monitoring</w:t>
            </w:r>
            <w:r w:rsidR="00A53448">
              <w:rPr>
                <w:rFonts w:ascii="Arial" w:hAnsi="Arial" w:cs="Arial"/>
                <w:sz w:val="18"/>
                <w:szCs w:val="18"/>
              </w:rPr>
              <w:t>/reporting</w:t>
            </w:r>
          </w:p>
        </w:tc>
        <w:tc>
          <w:tcPr>
            <w:tcW w:w="1402" w:type="pct"/>
          </w:tcPr>
          <w:p w14:paraId="7729DE13" w14:textId="023E40EA" w:rsidR="00E83806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Cond</w:t>
            </w:r>
            <w:r w:rsidR="00EF6A61">
              <w:rPr>
                <w:rFonts w:ascii="Arial" w:hAnsi="Arial" w:cs="Arial"/>
                <w:sz w:val="18"/>
                <w:szCs w:val="18"/>
              </w:rPr>
              <w:t>’s</w:t>
            </w:r>
            <w:r w:rsidRPr="000E73A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F6A61">
              <w:rPr>
                <w:rFonts w:ascii="Arial" w:hAnsi="Arial" w:cs="Arial"/>
                <w:sz w:val="18"/>
                <w:szCs w:val="18"/>
              </w:rPr>
              <w:t>35 - 36</w:t>
            </w:r>
          </w:p>
          <w:p w14:paraId="1933DEA1" w14:textId="3BD9C8E7" w:rsidR="00240871" w:rsidRPr="000E73A7" w:rsidRDefault="002408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pct"/>
          </w:tcPr>
          <w:p w14:paraId="75F0764A" w14:textId="294D0EE6" w:rsidR="00E83806" w:rsidRPr="000E73A7" w:rsidRDefault="00FD69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Incorporated</w:t>
            </w:r>
            <w:r w:rsidR="004F008D">
              <w:rPr>
                <w:rFonts w:ascii="Arial" w:hAnsi="Arial" w:cs="Arial"/>
                <w:sz w:val="18"/>
                <w:szCs w:val="18"/>
              </w:rPr>
              <w:t xml:space="preserve"> into the EMMP</w:t>
            </w:r>
            <w:r>
              <w:rPr>
                <w:rFonts w:ascii="Arial" w:hAnsi="Arial" w:cs="Arial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36 - 38</w:t>
            </w:r>
          </w:p>
        </w:tc>
        <w:tc>
          <w:tcPr>
            <w:tcW w:w="1240" w:type="pct"/>
          </w:tcPr>
          <w:p w14:paraId="70D30E4E" w14:textId="77777777" w:rsidR="00A53448" w:rsidRDefault="00A534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Conditions are mostly similar</w:t>
            </w:r>
          </w:p>
          <w:p w14:paraId="24F6F0BE" w14:textId="1A48C8A9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3806" w:rsidRPr="000E73A7" w14:paraId="13FCBF10" w14:textId="77777777" w:rsidTr="00E83806">
        <w:tc>
          <w:tcPr>
            <w:tcW w:w="903" w:type="pct"/>
          </w:tcPr>
          <w:p w14:paraId="36977329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Cultural provisions</w:t>
            </w:r>
          </w:p>
        </w:tc>
        <w:tc>
          <w:tcPr>
            <w:tcW w:w="1402" w:type="pct"/>
          </w:tcPr>
          <w:p w14:paraId="4994F2C2" w14:textId="77777777" w:rsidR="00921DD6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Cond. 10</w:t>
            </w:r>
            <w:r w:rsidR="00921DD6">
              <w:rPr>
                <w:rFonts w:ascii="Arial" w:hAnsi="Arial" w:cs="Arial"/>
                <w:sz w:val="18"/>
                <w:szCs w:val="18"/>
              </w:rPr>
              <w:t xml:space="preserve"> introduces a tikanga protocol prior to </w:t>
            </w:r>
            <w:proofErr w:type="gramStart"/>
            <w:r w:rsidR="00921DD6">
              <w:rPr>
                <w:rFonts w:ascii="Arial" w:hAnsi="Arial" w:cs="Arial"/>
                <w:sz w:val="18"/>
                <w:szCs w:val="18"/>
              </w:rPr>
              <w:t>works</w:t>
            </w:r>
            <w:proofErr w:type="gramEnd"/>
            <w:r w:rsidR="00921DD6">
              <w:rPr>
                <w:rFonts w:ascii="Arial" w:hAnsi="Arial" w:cs="Arial"/>
                <w:sz w:val="18"/>
                <w:szCs w:val="18"/>
              </w:rPr>
              <w:t xml:space="preserve"> commencing.</w:t>
            </w:r>
          </w:p>
          <w:p w14:paraId="6B29C488" w14:textId="3E240A15" w:rsidR="00E83806" w:rsidRPr="000E73A7" w:rsidRDefault="00220E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c</w:t>
            </w:r>
            <w:r w:rsidR="00921DD6">
              <w:rPr>
                <w:rFonts w:ascii="Arial" w:hAnsi="Arial" w:cs="Arial"/>
                <w:sz w:val="18"/>
                <w:szCs w:val="18"/>
              </w:rPr>
              <w:t>ond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4</w:t>
            </w:r>
            <w:r w:rsidR="007402C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, MBL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proffers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 </w:t>
            </w:r>
            <w:r w:rsidRPr="00CB0144">
              <w:rPr>
                <w:rFonts w:ascii="Arial" w:hAnsi="Arial" w:cs="Arial"/>
                <w:i/>
                <w:iCs/>
                <w:sz w:val="18"/>
                <w:szCs w:val="18"/>
              </w:rPr>
              <w:t>Augier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3109">
              <w:rPr>
                <w:rFonts w:ascii="Arial" w:hAnsi="Arial" w:cs="Arial"/>
                <w:sz w:val="18"/>
                <w:szCs w:val="18"/>
              </w:rPr>
              <w:t>condition for mon</w:t>
            </w:r>
            <w:r w:rsidR="00E93C56">
              <w:rPr>
                <w:rFonts w:ascii="Arial" w:hAnsi="Arial" w:cs="Arial"/>
                <w:sz w:val="18"/>
                <w:szCs w:val="18"/>
              </w:rPr>
              <w:t xml:space="preserve">etary </w:t>
            </w:r>
            <w:r w:rsidR="00F07C1F">
              <w:rPr>
                <w:rFonts w:ascii="Arial" w:hAnsi="Arial" w:cs="Arial"/>
                <w:sz w:val="18"/>
                <w:szCs w:val="18"/>
              </w:rPr>
              <w:t>recompense</w:t>
            </w:r>
            <w:r w:rsidR="00E93C56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F07C1F">
              <w:rPr>
                <w:rFonts w:ascii="Arial" w:hAnsi="Arial" w:cs="Arial"/>
                <w:sz w:val="18"/>
                <w:szCs w:val="18"/>
              </w:rPr>
              <w:lastRenderedPageBreak/>
              <w:t>three iwi entities</w:t>
            </w:r>
          </w:p>
        </w:tc>
        <w:tc>
          <w:tcPr>
            <w:tcW w:w="1455" w:type="pct"/>
          </w:tcPr>
          <w:p w14:paraId="5B7F81DA" w14:textId="33A49CB2" w:rsidR="00EF5269" w:rsidRDefault="00EF52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Con</w:t>
            </w:r>
            <w:r w:rsidR="00AC01A0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’</w:t>
            </w:r>
            <w:r w:rsidR="00AC01A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. 59 – 66 require the establishment of a </w:t>
            </w:r>
            <w:proofErr w:type="spellStart"/>
            <w:r w:rsidR="00AC01A0">
              <w:rPr>
                <w:rFonts w:ascii="Arial" w:hAnsi="Arial" w:cs="Arial"/>
                <w:sz w:val="18"/>
                <w:szCs w:val="18"/>
              </w:rPr>
              <w:t>Mātauranga</w:t>
            </w:r>
            <w:proofErr w:type="spellEnd"/>
            <w:r w:rsidR="00AC01A0">
              <w:rPr>
                <w:rFonts w:ascii="Arial" w:hAnsi="Arial" w:cs="Arial"/>
                <w:sz w:val="18"/>
                <w:szCs w:val="18"/>
              </w:rPr>
              <w:t xml:space="preserve"> Māori expert panel</w:t>
            </w:r>
            <w:r w:rsidR="00667CEC">
              <w:rPr>
                <w:rFonts w:ascii="Arial" w:hAnsi="Arial" w:cs="Arial"/>
                <w:sz w:val="18"/>
                <w:szCs w:val="18"/>
              </w:rPr>
              <w:t xml:space="preserve"> to participate and advise on </w:t>
            </w:r>
            <w:r w:rsidR="00044F5B">
              <w:rPr>
                <w:rFonts w:ascii="Arial" w:hAnsi="Arial" w:cs="Arial"/>
                <w:sz w:val="18"/>
                <w:szCs w:val="18"/>
              </w:rPr>
              <w:t>management plan outcomes of the operation.</w:t>
            </w:r>
          </w:p>
          <w:p w14:paraId="3C65910A" w14:textId="2FC8F03E" w:rsidR="00580279" w:rsidRPr="000E73A7" w:rsidRDefault="00580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Cond’s. 67 – 71 require the establishment of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 Community Liaison Group, including iwi representatives.</w:t>
            </w:r>
          </w:p>
        </w:tc>
        <w:tc>
          <w:tcPr>
            <w:tcW w:w="1240" w:type="pct"/>
          </w:tcPr>
          <w:p w14:paraId="3E83250C" w14:textId="5866E1B1" w:rsidR="006E1AA0" w:rsidRDefault="006E1A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Bream Bay conditions </w:t>
            </w:r>
            <w:r w:rsidR="005C2C23">
              <w:rPr>
                <w:rFonts w:ascii="Arial" w:hAnsi="Arial" w:cs="Arial"/>
                <w:sz w:val="18"/>
                <w:szCs w:val="18"/>
              </w:rPr>
              <w:t>introduce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C23">
              <w:rPr>
                <w:rFonts w:ascii="Arial" w:hAnsi="Arial" w:cs="Arial"/>
                <w:sz w:val="18"/>
                <w:szCs w:val="18"/>
              </w:rPr>
              <w:t>agreed tikanga protocols</w:t>
            </w:r>
            <w:r w:rsidR="009C7FEA">
              <w:rPr>
                <w:rFonts w:ascii="Arial" w:hAnsi="Arial" w:cs="Arial"/>
                <w:sz w:val="18"/>
                <w:szCs w:val="18"/>
              </w:rPr>
              <w:t>, in alignment with s6</w:t>
            </w:r>
            <w:r w:rsidR="00852E22">
              <w:rPr>
                <w:rFonts w:ascii="Arial" w:hAnsi="Arial" w:cs="Arial"/>
                <w:sz w:val="18"/>
                <w:szCs w:val="18"/>
              </w:rPr>
              <w:t>(e), 7A(a) and 8 RMA.</w:t>
            </w:r>
          </w:p>
          <w:p w14:paraId="1F79FB62" w14:textId="7851CF3A" w:rsidR="00852E22" w:rsidRPr="000E73A7" w:rsidRDefault="00852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4E8" w:rsidRPr="000E73A7" w14:paraId="4452E503" w14:textId="77777777" w:rsidTr="00E83806">
        <w:tc>
          <w:tcPr>
            <w:tcW w:w="903" w:type="pct"/>
          </w:tcPr>
          <w:p w14:paraId="2AD14DB3" w14:textId="774F9359" w:rsidR="00A224E8" w:rsidRPr="000E73A7" w:rsidRDefault="00A22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Community</w:t>
            </w:r>
          </w:p>
        </w:tc>
        <w:tc>
          <w:tcPr>
            <w:tcW w:w="1402" w:type="pct"/>
          </w:tcPr>
          <w:p w14:paraId="3A9E9E73" w14:textId="74D10474" w:rsidR="00F07C1F" w:rsidRPr="000E73A7" w:rsidRDefault="00F27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c</w:t>
            </w:r>
            <w:r w:rsidR="00F07C1F">
              <w:rPr>
                <w:rFonts w:ascii="Arial" w:hAnsi="Arial" w:cs="Arial"/>
                <w:sz w:val="18"/>
                <w:szCs w:val="18"/>
              </w:rPr>
              <w:t>ond.</w:t>
            </w:r>
            <w:r w:rsidR="00F07C1F" w:rsidRPr="000E73A7">
              <w:rPr>
                <w:rFonts w:ascii="Arial" w:hAnsi="Arial" w:cs="Arial"/>
                <w:sz w:val="18"/>
                <w:szCs w:val="18"/>
              </w:rPr>
              <w:t>4</w:t>
            </w:r>
            <w:r w:rsidR="00AB1A6B">
              <w:rPr>
                <w:rFonts w:ascii="Arial" w:hAnsi="Arial" w:cs="Arial"/>
                <w:sz w:val="18"/>
                <w:szCs w:val="18"/>
              </w:rPr>
              <w:t>4</w:t>
            </w:r>
            <w:r w:rsidR="00F07C1F">
              <w:rPr>
                <w:rFonts w:ascii="Arial" w:hAnsi="Arial" w:cs="Arial"/>
                <w:sz w:val="18"/>
                <w:szCs w:val="18"/>
              </w:rPr>
              <w:t xml:space="preserve">, MBL </w:t>
            </w:r>
            <w:proofErr w:type="gramStart"/>
            <w:r w:rsidR="00F07C1F">
              <w:rPr>
                <w:rFonts w:ascii="Arial" w:hAnsi="Arial" w:cs="Arial"/>
                <w:sz w:val="18"/>
                <w:szCs w:val="18"/>
              </w:rPr>
              <w:t>proffers</w:t>
            </w:r>
            <w:proofErr w:type="gramEnd"/>
            <w:r w:rsidR="00F07C1F">
              <w:rPr>
                <w:rFonts w:ascii="Arial" w:hAnsi="Arial" w:cs="Arial"/>
                <w:sz w:val="18"/>
                <w:szCs w:val="18"/>
              </w:rPr>
              <w:t xml:space="preserve"> an Augier condition for monetary recompense for three </w:t>
            </w:r>
            <w:r>
              <w:rPr>
                <w:rFonts w:ascii="Arial" w:hAnsi="Arial" w:cs="Arial"/>
                <w:sz w:val="18"/>
                <w:szCs w:val="18"/>
              </w:rPr>
              <w:t>local volunt</w:t>
            </w:r>
            <w:r w:rsidR="00A50F88">
              <w:rPr>
                <w:rFonts w:ascii="Arial" w:hAnsi="Arial" w:cs="Arial"/>
                <w:sz w:val="18"/>
                <w:szCs w:val="18"/>
              </w:rPr>
              <w:t>ee</w:t>
            </w:r>
            <w:r w:rsidR="003E2E4B">
              <w:rPr>
                <w:rFonts w:ascii="Arial" w:hAnsi="Arial" w:cs="Arial"/>
                <w:sz w:val="18"/>
                <w:szCs w:val="18"/>
              </w:rPr>
              <w:t>r-base</w:t>
            </w:r>
            <w:r w:rsidR="00A50F88">
              <w:rPr>
                <w:rFonts w:ascii="Arial" w:hAnsi="Arial" w:cs="Arial"/>
                <w:sz w:val="18"/>
                <w:szCs w:val="18"/>
              </w:rPr>
              <w:t xml:space="preserve"> entities</w:t>
            </w:r>
          </w:p>
        </w:tc>
        <w:tc>
          <w:tcPr>
            <w:tcW w:w="1455" w:type="pct"/>
          </w:tcPr>
          <w:p w14:paraId="7231741F" w14:textId="16D5D32A" w:rsidR="00A224E8" w:rsidRPr="000E73A7" w:rsidRDefault="00243920" w:rsidP="00580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Cond’s. </w:t>
            </w:r>
            <w:r w:rsidR="00C94F52">
              <w:rPr>
                <w:rFonts w:ascii="Arial" w:hAnsi="Arial" w:cs="Arial"/>
                <w:sz w:val="18"/>
                <w:szCs w:val="18"/>
              </w:rPr>
              <w:t xml:space="preserve">67 – 71 </w:t>
            </w:r>
            <w:r w:rsidR="00621F40">
              <w:rPr>
                <w:rFonts w:ascii="Arial" w:hAnsi="Arial" w:cs="Arial"/>
                <w:sz w:val="18"/>
                <w:szCs w:val="18"/>
              </w:rPr>
              <w:t>require the establishment of a Community Liaison Group</w:t>
            </w:r>
            <w:r w:rsidR="005802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0" w:type="pct"/>
          </w:tcPr>
          <w:p w14:paraId="6E40BB00" w14:textId="247764C1" w:rsidR="00A224E8" w:rsidRPr="000E73A7" w:rsidRDefault="00D679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Bream Bay conditions move</w:t>
            </w:r>
            <w:r w:rsidR="00FD4209">
              <w:rPr>
                <w:rFonts w:ascii="Arial" w:hAnsi="Arial" w:cs="Arial"/>
                <w:sz w:val="18"/>
                <w:szCs w:val="18"/>
              </w:rPr>
              <w:t xml:space="preserve"> away from</w:t>
            </w:r>
            <w:r>
              <w:rPr>
                <w:rFonts w:ascii="Arial" w:hAnsi="Arial" w:cs="Arial"/>
                <w:sz w:val="18"/>
                <w:szCs w:val="18"/>
              </w:rPr>
              <w:t xml:space="preserve"> the collaborative </w:t>
            </w:r>
            <w:r w:rsidR="00FD4209">
              <w:rPr>
                <w:rFonts w:ascii="Arial" w:hAnsi="Arial" w:cs="Arial"/>
                <w:sz w:val="18"/>
                <w:szCs w:val="18"/>
              </w:rPr>
              <w:t>approach</w:t>
            </w:r>
            <w:r w:rsidR="000706E6">
              <w:rPr>
                <w:rFonts w:ascii="Arial" w:hAnsi="Arial" w:cs="Arial"/>
                <w:sz w:val="18"/>
                <w:szCs w:val="18"/>
              </w:rPr>
              <w:t xml:space="preserve"> by proposing direct</w:t>
            </w:r>
            <w:r w:rsidR="005C2A07">
              <w:rPr>
                <w:rFonts w:ascii="Arial" w:hAnsi="Arial" w:cs="Arial"/>
                <w:sz w:val="18"/>
                <w:szCs w:val="18"/>
              </w:rPr>
              <w:t xml:space="preserve"> financial</w:t>
            </w:r>
            <w:r w:rsidR="000706E6">
              <w:rPr>
                <w:rFonts w:ascii="Arial" w:hAnsi="Arial" w:cs="Arial"/>
                <w:sz w:val="18"/>
                <w:szCs w:val="18"/>
              </w:rPr>
              <w:t xml:space="preserve"> benefit to </w:t>
            </w:r>
            <w:proofErr w:type="gramStart"/>
            <w:r w:rsidR="00D526CE">
              <w:rPr>
                <w:rFonts w:ascii="Arial" w:hAnsi="Arial" w:cs="Arial"/>
                <w:sz w:val="18"/>
                <w:szCs w:val="18"/>
              </w:rPr>
              <w:t>volunteer</w:t>
            </w:r>
            <w:r w:rsidR="005043E0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  <w:r w:rsidR="005043E0">
              <w:rPr>
                <w:rFonts w:ascii="Arial" w:hAnsi="Arial" w:cs="Arial"/>
                <w:sz w:val="18"/>
                <w:szCs w:val="18"/>
              </w:rPr>
              <w:t xml:space="preserve"> groups that</w:t>
            </w:r>
            <w:r w:rsidR="005C2A07">
              <w:rPr>
                <w:rFonts w:ascii="Arial" w:hAnsi="Arial" w:cs="Arial"/>
                <w:sz w:val="18"/>
                <w:szCs w:val="18"/>
              </w:rPr>
              <w:t xml:space="preserve"> support recreational users of Bream Bay. </w:t>
            </w:r>
          </w:p>
        </w:tc>
      </w:tr>
      <w:tr w:rsidR="00E83806" w:rsidRPr="000E73A7" w14:paraId="5D27E839" w14:textId="77777777" w:rsidTr="00E83806">
        <w:tc>
          <w:tcPr>
            <w:tcW w:w="903" w:type="pct"/>
          </w:tcPr>
          <w:p w14:paraId="623A85F4" w14:textId="7DED2B73" w:rsidR="00E83806" w:rsidRPr="000E73A7" w:rsidRDefault="00A25B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Submarine noise</w:t>
            </w:r>
            <w:r w:rsidRPr="000E73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3806" w:rsidRPr="000E73A7">
              <w:rPr>
                <w:rFonts w:ascii="Arial" w:hAnsi="Arial" w:cs="Arial"/>
                <w:sz w:val="18"/>
                <w:szCs w:val="18"/>
              </w:rPr>
              <w:t>limits</w:t>
            </w:r>
          </w:p>
        </w:tc>
        <w:tc>
          <w:tcPr>
            <w:tcW w:w="1402" w:type="pct"/>
          </w:tcPr>
          <w:p w14:paraId="3CEB0FD4" w14:textId="77777777" w:rsidR="00E83806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Cond. 36 (≤3 dB change)</w:t>
            </w:r>
          </w:p>
          <w:p w14:paraId="7A31C3DE" w14:textId="4ABBEEA7" w:rsidR="00A56735" w:rsidRPr="000E73A7" w:rsidRDefault="005F18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Incorporated</w:t>
            </w:r>
            <w:r w:rsidR="00A56735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4B578D">
              <w:rPr>
                <w:rFonts w:ascii="Arial" w:hAnsi="Arial" w:cs="Arial"/>
                <w:sz w:val="18"/>
                <w:szCs w:val="18"/>
              </w:rPr>
              <w:t xml:space="preserve"> the EMMP. Require</w:t>
            </w:r>
            <w:r w:rsidR="008555B4">
              <w:rPr>
                <w:rFonts w:ascii="Arial" w:hAnsi="Arial" w:cs="Arial"/>
                <w:sz w:val="18"/>
                <w:szCs w:val="18"/>
              </w:rPr>
              <w:t>s underwater noise does not increase</w:t>
            </w:r>
            <w:r w:rsidR="00FF3218">
              <w:rPr>
                <w:rFonts w:ascii="Arial" w:hAnsi="Arial" w:cs="Arial"/>
                <w:sz w:val="18"/>
                <w:szCs w:val="18"/>
              </w:rPr>
              <w:t xml:space="preserve"> by &gt; </w:t>
            </w:r>
            <w:proofErr w:type="gramStart"/>
            <w:r w:rsidR="00FF3218">
              <w:rPr>
                <w:rFonts w:ascii="Arial" w:hAnsi="Arial" w:cs="Arial"/>
                <w:sz w:val="18"/>
                <w:szCs w:val="18"/>
              </w:rPr>
              <w:t>3</w:t>
            </w:r>
            <w:r w:rsidR="00142C07">
              <w:rPr>
                <w:rFonts w:ascii="Arial" w:hAnsi="Arial" w:cs="Arial"/>
                <w:sz w:val="18"/>
                <w:szCs w:val="18"/>
              </w:rPr>
              <w:t>d</w:t>
            </w:r>
            <w:r w:rsidR="0034482B">
              <w:rPr>
                <w:rFonts w:ascii="Arial" w:hAnsi="Arial" w:cs="Arial"/>
                <w:sz w:val="18"/>
                <w:szCs w:val="18"/>
              </w:rPr>
              <w:t>b</w:t>
            </w:r>
            <w:r w:rsidR="00A84010">
              <w:rPr>
                <w:rFonts w:ascii="Arial" w:hAnsi="Arial" w:cs="Arial"/>
                <w:sz w:val="18"/>
                <w:szCs w:val="18"/>
              </w:rPr>
              <w:t>, but</w:t>
            </w:r>
            <w:proofErr w:type="gramEnd"/>
            <w:r w:rsidR="00A84010">
              <w:rPr>
                <w:rFonts w:ascii="Arial" w:hAnsi="Arial" w:cs="Arial"/>
                <w:sz w:val="18"/>
                <w:szCs w:val="18"/>
              </w:rPr>
              <w:t xml:space="preserve"> does not state what</w:t>
            </w:r>
            <w:r w:rsidR="009619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4010">
              <w:rPr>
                <w:rFonts w:ascii="Arial" w:hAnsi="Arial" w:cs="Arial"/>
                <w:sz w:val="18"/>
                <w:szCs w:val="18"/>
              </w:rPr>
              <w:t>against</w:t>
            </w:r>
            <w:r w:rsidR="00A6102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B57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pct"/>
          </w:tcPr>
          <w:p w14:paraId="623420DF" w14:textId="0EA8C70D" w:rsidR="00E83806" w:rsidRPr="000E73A7" w:rsidRDefault="00FF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Silent on underwater noise</w:t>
            </w:r>
          </w:p>
        </w:tc>
        <w:tc>
          <w:tcPr>
            <w:tcW w:w="1240" w:type="pct"/>
          </w:tcPr>
          <w:p w14:paraId="10CAD720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Controls underwater noise effects</w:t>
            </w:r>
          </w:p>
          <w:p w14:paraId="04DDE35B" w14:textId="50AB97B4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Marine ecology (acoustics)</w:t>
            </w:r>
          </w:p>
        </w:tc>
      </w:tr>
      <w:tr w:rsidR="00E83806" w:rsidRPr="000E73A7" w14:paraId="4537AD92" w14:textId="77777777" w:rsidTr="00E83806">
        <w:tc>
          <w:tcPr>
            <w:tcW w:w="903" w:type="pct"/>
          </w:tcPr>
          <w:p w14:paraId="5F04BFCD" w14:textId="77777777" w:rsidR="00E83806" w:rsidRPr="000E73A7" w:rsidRDefault="00E83806">
            <w:pPr>
              <w:rPr>
                <w:rFonts w:ascii="Arial" w:hAnsi="Arial" w:cs="Arial"/>
                <w:sz w:val="18"/>
                <w:szCs w:val="18"/>
              </w:rPr>
            </w:pPr>
            <w:r w:rsidRPr="000E73A7">
              <w:rPr>
                <w:rFonts w:ascii="Arial" w:hAnsi="Arial" w:cs="Arial"/>
                <w:sz w:val="18"/>
                <w:szCs w:val="18"/>
              </w:rPr>
              <w:t>Extraction cessation triggers</w:t>
            </w:r>
          </w:p>
        </w:tc>
        <w:tc>
          <w:tcPr>
            <w:tcW w:w="1402" w:type="pct"/>
          </w:tcPr>
          <w:p w14:paraId="543F074B" w14:textId="7BE90354" w:rsidR="00C47AE5" w:rsidRPr="000E73A7" w:rsidRDefault="005F4D9B" w:rsidP="001C48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Requires operation to cease </w:t>
            </w:r>
            <w:r w:rsidR="0096759A">
              <w:rPr>
                <w:rFonts w:ascii="Arial" w:hAnsi="Arial" w:cs="Arial"/>
                <w:sz w:val="18"/>
                <w:szCs w:val="18"/>
              </w:rPr>
              <w:t xml:space="preserve">during </w:t>
            </w:r>
            <w:r w:rsidR="00E850DA">
              <w:rPr>
                <w:rFonts w:ascii="Arial" w:hAnsi="Arial" w:cs="Arial"/>
                <w:sz w:val="18"/>
                <w:szCs w:val="18"/>
              </w:rPr>
              <w:t>encounters</w:t>
            </w:r>
            <w:r w:rsidR="0096759A">
              <w:rPr>
                <w:rFonts w:ascii="Arial" w:hAnsi="Arial" w:cs="Arial"/>
                <w:sz w:val="18"/>
                <w:szCs w:val="18"/>
              </w:rPr>
              <w:t xml:space="preserve"> with large wha</w:t>
            </w:r>
            <w:r w:rsidR="00E850DA">
              <w:rPr>
                <w:rFonts w:ascii="Arial" w:hAnsi="Arial" w:cs="Arial"/>
                <w:sz w:val="18"/>
                <w:szCs w:val="18"/>
              </w:rPr>
              <w:t>l</w:t>
            </w:r>
            <w:r w:rsidR="0096759A">
              <w:rPr>
                <w:rFonts w:ascii="Arial" w:hAnsi="Arial" w:cs="Arial"/>
                <w:sz w:val="18"/>
                <w:szCs w:val="18"/>
              </w:rPr>
              <w:t>es</w:t>
            </w:r>
            <w:r w:rsidR="00E850DA">
              <w:rPr>
                <w:rFonts w:ascii="Arial" w:hAnsi="Arial" w:cs="Arial"/>
                <w:sz w:val="18"/>
                <w:szCs w:val="18"/>
              </w:rPr>
              <w:t>, koiwi</w:t>
            </w:r>
            <w:r w:rsidR="00AC59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0353">
              <w:rPr>
                <w:rFonts w:ascii="Arial" w:hAnsi="Arial" w:cs="Arial"/>
                <w:sz w:val="18"/>
                <w:szCs w:val="18"/>
              </w:rPr>
              <w:t xml:space="preserve">or artefact </w:t>
            </w:r>
            <w:r w:rsidR="00AC599E">
              <w:rPr>
                <w:rFonts w:ascii="Arial" w:hAnsi="Arial" w:cs="Arial"/>
                <w:sz w:val="18"/>
                <w:szCs w:val="18"/>
              </w:rPr>
              <w:t>disco</w:t>
            </w:r>
            <w:r w:rsidR="00CC7499">
              <w:rPr>
                <w:rFonts w:ascii="Arial" w:hAnsi="Arial" w:cs="Arial"/>
                <w:sz w:val="18"/>
                <w:szCs w:val="18"/>
              </w:rPr>
              <w:t>very</w:t>
            </w:r>
            <w:r w:rsidR="00AC599E">
              <w:rPr>
                <w:rFonts w:ascii="Arial" w:hAnsi="Arial" w:cs="Arial"/>
                <w:sz w:val="18"/>
                <w:szCs w:val="18"/>
              </w:rPr>
              <w:t>,</w:t>
            </w:r>
            <w:r w:rsidR="0096759A">
              <w:rPr>
                <w:rFonts w:ascii="Arial" w:hAnsi="Arial" w:cs="Arial"/>
                <w:sz w:val="18"/>
                <w:szCs w:val="18"/>
              </w:rPr>
              <w:t xml:space="preserve"> and when certain</w:t>
            </w:r>
            <w:r w:rsidR="00A87DDF">
              <w:rPr>
                <w:rFonts w:ascii="Arial" w:hAnsi="Arial" w:cs="Arial"/>
                <w:sz w:val="18"/>
                <w:szCs w:val="18"/>
              </w:rPr>
              <w:t xml:space="preserve"> seafloor </w:t>
            </w:r>
            <w:r w:rsidR="007B68FC">
              <w:rPr>
                <w:rFonts w:ascii="Arial" w:hAnsi="Arial" w:cs="Arial"/>
                <w:sz w:val="18"/>
                <w:szCs w:val="18"/>
              </w:rPr>
              <w:t>conditions exist (</w:t>
            </w:r>
            <w:r w:rsidR="001C4844">
              <w:rPr>
                <w:rFonts w:ascii="Arial" w:hAnsi="Arial" w:cs="Arial"/>
                <w:sz w:val="18"/>
                <w:szCs w:val="18"/>
              </w:rPr>
              <w:t xml:space="preserve">cond. 20 relating to </w:t>
            </w:r>
            <w:r w:rsidR="00431B85">
              <w:rPr>
                <w:rFonts w:ascii="Arial" w:hAnsi="Arial" w:cs="Arial"/>
                <w:sz w:val="18"/>
                <w:szCs w:val="18"/>
              </w:rPr>
              <w:t>(benthic</w:t>
            </w:r>
            <w:r w:rsidR="001E5A9D">
              <w:rPr>
                <w:rFonts w:ascii="Arial" w:hAnsi="Arial" w:cs="Arial"/>
                <w:sz w:val="18"/>
                <w:szCs w:val="18"/>
              </w:rPr>
              <w:t xml:space="preserve"> habitat and physical attributes), </w:t>
            </w:r>
          </w:p>
        </w:tc>
        <w:tc>
          <w:tcPr>
            <w:tcW w:w="1455" w:type="pct"/>
          </w:tcPr>
          <w:p w14:paraId="1107B0B3" w14:textId="5DAD6F37" w:rsidR="00E83806" w:rsidRPr="000E73A7" w:rsidRDefault="00B765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requirement to cease</w:t>
            </w:r>
          </w:p>
        </w:tc>
        <w:tc>
          <w:tcPr>
            <w:tcW w:w="1240" w:type="pct"/>
          </w:tcPr>
          <w:p w14:paraId="6F127E71" w14:textId="73111C84" w:rsidR="00E83806" w:rsidRPr="000E73A7" w:rsidRDefault="00B53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Bream Bay conditions are an improvement on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Pakiri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conditions and </w:t>
            </w:r>
            <w:r w:rsidR="005A35BC">
              <w:rPr>
                <w:rFonts w:ascii="Arial" w:hAnsi="Arial" w:cs="Arial"/>
                <w:sz w:val="18"/>
                <w:szCs w:val="18"/>
              </w:rPr>
              <w:t xml:space="preserve">attempt to ensure </w:t>
            </w:r>
            <w:r>
              <w:rPr>
                <w:rFonts w:ascii="Arial" w:hAnsi="Arial" w:cs="Arial"/>
                <w:sz w:val="18"/>
                <w:szCs w:val="18"/>
              </w:rPr>
              <w:t>sensitive areas are avoided</w:t>
            </w:r>
            <w:r w:rsidR="008D471D">
              <w:rPr>
                <w:rFonts w:ascii="Arial" w:hAnsi="Arial" w:cs="Arial"/>
                <w:sz w:val="18"/>
                <w:szCs w:val="18"/>
              </w:rPr>
              <w:t xml:space="preserve">, as well </w:t>
            </w:r>
            <w:r w:rsidR="00E802CB">
              <w:rPr>
                <w:rFonts w:ascii="Arial" w:hAnsi="Arial" w:cs="Arial"/>
                <w:sz w:val="18"/>
                <w:szCs w:val="18"/>
              </w:rPr>
              <w:t>as</w:t>
            </w:r>
            <w:r w:rsidR="00B008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5512">
              <w:rPr>
                <w:rFonts w:ascii="Arial" w:hAnsi="Arial" w:cs="Arial"/>
                <w:sz w:val="18"/>
                <w:szCs w:val="18"/>
              </w:rPr>
              <w:t xml:space="preserve">protocols for discovery </w:t>
            </w:r>
            <w:r w:rsidR="009E21E6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E85512">
              <w:rPr>
                <w:rFonts w:ascii="Arial" w:hAnsi="Arial" w:cs="Arial"/>
                <w:sz w:val="18"/>
                <w:szCs w:val="18"/>
              </w:rPr>
              <w:t>cultural artefact</w:t>
            </w:r>
            <w:r w:rsidR="009E21E6">
              <w:rPr>
                <w:rFonts w:ascii="Arial" w:hAnsi="Arial" w:cs="Arial"/>
                <w:sz w:val="18"/>
                <w:szCs w:val="18"/>
              </w:rPr>
              <w:t>s</w:t>
            </w:r>
            <w:r w:rsidR="00E85512">
              <w:rPr>
                <w:rFonts w:ascii="Arial" w:hAnsi="Arial" w:cs="Arial"/>
                <w:sz w:val="18"/>
                <w:szCs w:val="18"/>
              </w:rPr>
              <w:t xml:space="preserve"> and for the safety of </w:t>
            </w:r>
            <w:r w:rsidR="005D53F2">
              <w:rPr>
                <w:rFonts w:ascii="Arial" w:hAnsi="Arial" w:cs="Arial"/>
                <w:sz w:val="18"/>
                <w:szCs w:val="18"/>
              </w:rPr>
              <w:t xml:space="preserve">large </w:t>
            </w:r>
            <w:r w:rsidR="00E85512">
              <w:rPr>
                <w:rFonts w:ascii="Arial" w:hAnsi="Arial" w:cs="Arial"/>
                <w:sz w:val="18"/>
                <w:szCs w:val="18"/>
              </w:rPr>
              <w:t>whales</w:t>
            </w:r>
            <w:r w:rsidR="009E21E6">
              <w:rPr>
                <w:rFonts w:ascii="Arial" w:hAnsi="Arial" w:cs="Arial"/>
                <w:sz w:val="18"/>
                <w:szCs w:val="18"/>
              </w:rPr>
              <w:t xml:space="preserve"> (not small whales or other marine mammals)</w:t>
            </w:r>
            <w:r w:rsidR="00E855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9D2AB40" w14:textId="77777777" w:rsidR="009C3C60" w:rsidRPr="000E73A7" w:rsidRDefault="009C3C60">
      <w:pPr>
        <w:rPr>
          <w:rFonts w:ascii="Arial" w:hAnsi="Arial" w:cs="Arial"/>
          <w:sz w:val="18"/>
          <w:szCs w:val="18"/>
        </w:rPr>
      </w:pPr>
    </w:p>
    <w:sectPr w:rsidR="009C3C60" w:rsidRPr="000E73A7" w:rsidSect="000A234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3358D7"/>
    <w:multiLevelType w:val="hybridMultilevel"/>
    <w:tmpl w:val="063A48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E0C78"/>
    <w:multiLevelType w:val="hybridMultilevel"/>
    <w:tmpl w:val="BF3ACF9E"/>
    <w:lvl w:ilvl="0" w:tplc="8ED28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56E6C"/>
    <w:multiLevelType w:val="multilevel"/>
    <w:tmpl w:val="E0B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152791">
    <w:abstractNumId w:val="6"/>
  </w:num>
  <w:num w:numId="2" w16cid:durableId="1628313561">
    <w:abstractNumId w:val="0"/>
  </w:num>
  <w:num w:numId="3" w16cid:durableId="18507150">
    <w:abstractNumId w:val="1"/>
  </w:num>
  <w:num w:numId="4" w16cid:durableId="18550539">
    <w:abstractNumId w:val="10"/>
  </w:num>
  <w:num w:numId="5" w16cid:durableId="2054452421">
    <w:abstractNumId w:val="8"/>
  </w:num>
  <w:num w:numId="6" w16cid:durableId="2114788784">
    <w:abstractNumId w:val="4"/>
  </w:num>
  <w:num w:numId="7" w16cid:durableId="247623135">
    <w:abstractNumId w:val="5"/>
  </w:num>
  <w:num w:numId="8" w16cid:durableId="3940785">
    <w:abstractNumId w:val="7"/>
  </w:num>
  <w:num w:numId="9" w16cid:durableId="557546305">
    <w:abstractNumId w:val="11"/>
  </w:num>
  <w:num w:numId="10" w16cid:durableId="575359913">
    <w:abstractNumId w:val="2"/>
  </w:num>
  <w:num w:numId="11" w16cid:durableId="588392707">
    <w:abstractNumId w:val="3"/>
  </w:num>
  <w:num w:numId="12" w16cid:durableId="854877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6C3"/>
    <w:rsid w:val="00034616"/>
    <w:rsid w:val="00042662"/>
    <w:rsid w:val="00044F5B"/>
    <w:rsid w:val="00045C75"/>
    <w:rsid w:val="0006063C"/>
    <w:rsid w:val="000706E6"/>
    <w:rsid w:val="000739DD"/>
    <w:rsid w:val="000756B2"/>
    <w:rsid w:val="000A234D"/>
    <w:rsid w:val="000B3091"/>
    <w:rsid w:val="000B3730"/>
    <w:rsid w:val="000B45AD"/>
    <w:rsid w:val="000C5D13"/>
    <w:rsid w:val="000C7EF8"/>
    <w:rsid w:val="000D4E8A"/>
    <w:rsid w:val="000D7C62"/>
    <w:rsid w:val="000E4412"/>
    <w:rsid w:val="000E73A7"/>
    <w:rsid w:val="000F72B0"/>
    <w:rsid w:val="001119F7"/>
    <w:rsid w:val="001242F4"/>
    <w:rsid w:val="001358A2"/>
    <w:rsid w:val="001359FF"/>
    <w:rsid w:val="001362FD"/>
    <w:rsid w:val="00142A4C"/>
    <w:rsid w:val="00142C07"/>
    <w:rsid w:val="0015074B"/>
    <w:rsid w:val="00153D7B"/>
    <w:rsid w:val="00164566"/>
    <w:rsid w:val="00167DC0"/>
    <w:rsid w:val="00167F7F"/>
    <w:rsid w:val="00182C3D"/>
    <w:rsid w:val="00187F6F"/>
    <w:rsid w:val="00190D75"/>
    <w:rsid w:val="001959B9"/>
    <w:rsid w:val="001B08B4"/>
    <w:rsid w:val="001C09AA"/>
    <w:rsid w:val="001C4844"/>
    <w:rsid w:val="001D3584"/>
    <w:rsid w:val="001E5A9D"/>
    <w:rsid w:val="001F088C"/>
    <w:rsid w:val="0020427B"/>
    <w:rsid w:val="00204288"/>
    <w:rsid w:val="0021045D"/>
    <w:rsid w:val="00211160"/>
    <w:rsid w:val="00220E8D"/>
    <w:rsid w:val="0023372D"/>
    <w:rsid w:val="00235C31"/>
    <w:rsid w:val="00240871"/>
    <w:rsid w:val="00240934"/>
    <w:rsid w:val="0024135D"/>
    <w:rsid w:val="00243920"/>
    <w:rsid w:val="00251851"/>
    <w:rsid w:val="00261241"/>
    <w:rsid w:val="00261806"/>
    <w:rsid w:val="002709BE"/>
    <w:rsid w:val="00283F53"/>
    <w:rsid w:val="00286EA5"/>
    <w:rsid w:val="00287AD1"/>
    <w:rsid w:val="00290AC0"/>
    <w:rsid w:val="00294B01"/>
    <w:rsid w:val="0029639D"/>
    <w:rsid w:val="002A265E"/>
    <w:rsid w:val="002C08ED"/>
    <w:rsid w:val="002C12B6"/>
    <w:rsid w:val="002C3A5F"/>
    <w:rsid w:val="002C544B"/>
    <w:rsid w:val="002F0EB8"/>
    <w:rsid w:val="00305B8F"/>
    <w:rsid w:val="00321326"/>
    <w:rsid w:val="003229CE"/>
    <w:rsid w:val="00326D63"/>
    <w:rsid w:val="00326F90"/>
    <w:rsid w:val="003275DD"/>
    <w:rsid w:val="00330ADA"/>
    <w:rsid w:val="00331A27"/>
    <w:rsid w:val="00333A07"/>
    <w:rsid w:val="003348C8"/>
    <w:rsid w:val="00342309"/>
    <w:rsid w:val="0034482B"/>
    <w:rsid w:val="003466CD"/>
    <w:rsid w:val="00357963"/>
    <w:rsid w:val="0036073A"/>
    <w:rsid w:val="00373109"/>
    <w:rsid w:val="003819AE"/>
    <w:rsid w:val="00381E82"/>
    <w:rsid w:val="0039253F"/>
    <w:rsid w:val="003B0ED6"/>
    <w:rsid w:val="003B51E9"/>
    <w:rsid w:val="003B62FE"/>
    <w:rsid w:val="003C52F9"/>
    <w:rsid w:val="003D245A"/>
    <w:rsid w:val="003D2F67"/>
    <w:rsid w:val="003E2E4B"/>
    <w:rsid w:val="003F2D4E"/>
    <w:rsid w:val="003F3C86"/>
    <w:rsid w:val="003F763A"/>
    <w:rsid w:val="0041738B"/>
    <w:rsid w:val="00417CC0"/>
    <w:rsid w:val="00417FE2"/>
    <w:rsid w:val="0042643E"/>
    <w:rsid w:val="00431B85"/>
    <w:rsid w:val="0043363F"/>
    <w:rsid w:val="00442B63"/>
    <w:rsid w:val="00444660"/>
    <w:rsid w:val="004479F2"/>
    <w:rsid w:val="004626C0"/>
    <w:rsid w:val="004720C7"/>
    <w:rsid w:val="00483314"/>
    <w:rsid w:val="00484828"/>
    <w:rsid w:val="0048783E"/>
    <w:rsid w:val="004A0195"/>
    <w:rsid w:val="004A1026"/>
    <w:rsid w:val="004B578D"/>
    <w:rsid w:val="004B7631"/>
    <w:rsid w:val="004C083A"/>
    <w:rsid w:val="004C30B0"/>
    <w:rsid w:val="004D04D2"/>
    <w:rsid w:val="004D3F5B"/>
    <w:rsid w:val="004F008D"/>
    <w:rsid w:val="004F3D74"/>
    <w:rsid w:val="004F6873"/>
    <w:rsid w:val="005043E0"/>
    <w:rsid w:val="00504DDF"/>
    <w:rsid w:val="0050753D"/>
    <w:rsid w:val="0051150D"/>
    <w:rsid w:val="005124CF"/>
    <w:rsid w:val="005147E1"/>
    <w:rsid w:val="00523868"/>
    <w:rsid w:val="00523DFD"/>
    <w:rsid w:val="00526422"/>
    <w:rsid w:val="00527C6A"/>
    <w:rsid w:val="00531AF3"/>
    <w:rsid w:val="00536B90"/>
    <w:rsid w:val="0054605B"/>
    <w:rsid w:val="00561858"/>
    <w:rsid w:val="00571FDC"/>
    <w:rsid w:val="00580279"/>
    <w:rsid w:val="00585508"/>
    <w:rsid w:val="00585996"/>
    <w:rsid w:val="00592DAD"/>
    <w:rsid w:val="00592E0D"/>
    <w:rsid w:val="00596EB8"/>
    <w:rsid w:val="005A2F3B"/>
    <w:rsid w:val="005A35BC"/>
    <w:rsid w:val="005B311F"/>
    <w:rsid w:val="005C23BC"/>
    <w:rsid w:val="005C2A07"/>
    <w:rsid w:val="005C2C23"/>
    <w:rsid w:val="005C3BF3"/>
    <w:rsid w:val="005C6BE7"/>
    <w:rsid w:val="005D2871"/>
    <w:rsid w:val="005D53F2"/>
    <w:rsid w:val="005F187D"/>
    <w:rsid w:val="005F3F54"/>
    <w:rsid w:val="005F4D9B"/>
    <w:rsid w:val="005F72A6"/>
    <w:rsid w:val="00606504"/>
    <w:rsid w:val="00612D40"/>
    <w:rsid w:val="006140EA"/>
    <w:rsid w:val="00621F40"/>
    <w:rsid w:val="00625F5E"/>
    <w:rsid w:val="00631C92"/>
    <w:rsid w:val="00636634"/>
    <w:rsid w:val="006373F2"/>
    <w:rsid w:val="00641264"/>
    <w:rsid w:val="00644604"/>
    <w:rsid w:val="00663A4E"/>
    <w:rsid w:val="006640A3"/>
    <w:rsid w:val="00667CEC"/>
    <w:rsid w:val="00680A7E"/>
    <w:rsid w:val="00682FB6"/>
    <w:rsid w:val="00685F23"/>
    <w:rsid w:val="00685F5E"/>
    <w:rsid w:val="006935F6"/>
    <w:rsid w:val="00695088"/>
    <w:rsid w:val="006A0CE8"/>
    <w:rsid w:val="006B233D"/>
    <w:rsid w:val="006B55F2"/>
    <w:rsid w:val="006C0791"/>
    <w:rsid w:val="006C1CDC"/>
    <w:rsid w:val="006C6555"/>
    <w:rsid w:val="006D4E2E"/>
    <w:rsid w:val="006D5050"/>
    <w:rsid w:val="006D6986"/>
    <w:rsid w:val="006E1A58"/>
    <w:rsid w:val="006E1AA0"/>
    <w:rsid w:val="006F44F9"/>
    <w:rsid w:val="006F7A8C"/>
    <w:rsid w:val="00715F84"/>
    <w:rsid w:val="007250F9"/>
    <w:rsid w:val="007273FD"/>
    <w:rsid w:val="00731CC8"/>
    <w:rsid w:val="007402C5"/>
    <w:rsid w:val="0074398F"/>
    <w:rsid w:val="00745F42"/>
    <w:rsid w:val="00753A0B"/>
    <w:rsid w:val="007613D7"/>
    <w:rsid w:val="00771BE8"/>
    <w:rsid w:val="00772778"/>
    <w:rsid w:val="00777F09"/>
    <w:rsid w:val="00782DCA"/>
    <w:rsid w:val="00785467"/>
    <w:rsid w:val="00787764"/>
    <w:rsid w:val="00792719"/>
    <w:rsid w:val="007A22CA"/>
    <w:rsid w:val="007A39EE"/>
    <w:rsid w:val="007B11F6"/>
    <w:rsid w:val="007B68FC"/>
    <w:rsid w:val="007C052B"/>
    <w:rsid w:val="007C29FA"/>
    <w:rsid w:val="007D2592"/>
    <w:rsid w:val="007D4234"/>
    <w:rsid w:val="007D7618"/>
    <w:rsid w:val="007E4EC3"/>
    <w:rsid w:val="007E56F1"/>
    <w:rsid w:val="007F779D"/>
    <w:rsid w:val="008126EA"/>
    <w:rsid w:val="00813E86"/>
    <w:rsid w:val="008229BA"/>
    <w:rsid w:val="00833CBD"/>
    <w:rsid w:val="00852D05"/>
    <w:rsid w:val="00852E22"/>
    <w:rsid w:val="008555B4"/>
    <w:rsid w:val="00863014"/>
    <w:rsid w:val="00865A9E"/>
    <w:rsid w:val="00870898"/>
    <w:rsid w:val="0087321D"/>
    <w:rsid w:val="00874E79"/>
    <w:rsid w:val="00875081"/>
    <w:rsid w:val="0089561B"/>
    <w:rsid w:val="008A08CC"/>
    <w:rsid w:val="008A0C89"/>
    <w:rsid w:val="008A56D3"/>
    <w:rsid w:val="008B052F"/>
    <w:rsid w:val="008B32F9"/>
    <w:rsid w:val="008C427F"/>
    <w:rsid w:val="008D471D"/>
    <w:rsid w:val="008E23FF"/>
    <w:rsid w:val="009027DD"/>
    <w:rsid w:val="0090324D"/>
    <w:rsid w:val="009123AE"/>
    <w:rsid w:val="00921DD6"/>
    <w:rsid w:val="009354E2"/>
    <w:rsid w:val="00944AC3"/>
    <w:rsid w:val="0095030A"/>
    <w:rsid w:val="00950BC7"/>
    <w:rsid w:val="0096197D"/>
    <w:rsid w:val="009622A7"/>
    <w:rsid w:val="009643B9"/>
    <w:rsid w:val="0096759A"/>
    <w:rsid w:val="00972D3F"/>
    <w:rsid w:val="00975180"/>
    <w:rsid w:val="009A3D94"/>
    <w:rsid w:val="009A4299"/>
    <w:rsid w:val="009B034A"/>
    <w:rsid w:val="009B503D"/>
    <w:rsid w:val="009C3C60"/>
    <w:rsid w:val="009C7482"/>
    <w:rsid w:val="009C7FEA"/>
    <w:rsid w:val="009D4F53"/>
    <w:rsid w:val="009D7560"/>
    <w:rsid w:val="009E0C6D"/>
    <w:rsid w:val="009E0F6B"/>
    <w:rsid w:val="009E21E6"/>
    <w:rsid w:val="009E2C16"/>
    <w:rsid w:val="009E73CB"/>
    <w:rsid w:val="00A04589"/>
    <w:rsid w:val="00A059B8"/>
    <w:rsid w:val="00A20D51"/>
    <w:rsid w:val="00A224E8"/>
    <w:rsid w:val="00A25BF0"/>
    <w:rsid w:val="00A4236C"/>
    <w:rsid w:val="00A44CE5"/>
    <w:rsid w:val="00A50F88"/>
    <w:rsid w:val="00A517A3"/>
    <w:rsid w:val="00A53448"/>
    <w:rsid w:val="00A560D5"/>
    <w:rsid w:val="00A56735"/>
    <w:rsid w:val="00A6102A"/>
    <w:rsid w:val="00A624C2"/>
    <w:rsid w:val="00A764E8"/>
    <w:rsid w:val="00A8102C"/>
    <w:rsid w:val="00A81E85"/>
    <w:rsid w:val="00A84010"/>
    <w:rsid w:val="00A8613D"/>
    <w:rsid w:val="00A87DDF"/>
    <w:rsid w:val="00A95609"/>
    <w:rsid w:val="00AA1D8D"/>
    <w:rsid w:val="00AA4C7C"/>
    <w:rsid w:val="00AB1A6B"/>
    <w:rsid w:val="00AC01A0"/>
    <w:rsid w:val="00AC599E"/>
    <w:rsid w:val="00AC70DD"/>
    <w:rsid w:val="00AC72CD"/>
    <w:rsid w:val="00AE2E76"/>
    <w:rsid w:val="00AF3B7A"/>
    <w:rsid w:val="00B00682"/>
    <w:rsid w:val="00B008F4"/>
    <w:rsid w:val="00B2477A"/>
    <w:rsid w:val="00B33D2B"/>
    <w:rsid w:val="00B4026F"/>
    <w:rsid w:val="00B47730"/>
    <w:rsid w:val="00B47982"/>
    <w:rsid w:val="00B53265"/>
    <w:rsid w:val="00B554DC"/>
    <w:rsid w:val="00B57B34"/>
    <w:rsid w:val="00B7211E"/>
    <w:rsid w:val="00B76575"/>
    <w:rsid w:val="00B8422A"/>
    <w:rsid w:val="00BA7070"/>
    <w:rsid w:val="00BA781F"/>
    <w:rsid w:val="00BB6341"/>
    <w:rsid w:val="00BB7A3F"/>
    <w:rsid w:val="00BD4E74"/>
    <w:rsid w:val="00BE1E6E"/>
    <w:rsid w:val="00BE7C4C"/>
    <w:rsid w:val="00BF2604"/>
    <w:rsid w:val="00C00EA4"/>
    <w:rsid w:val="00C052E7"/>
    <w:rsid w:val="00C11ECA"/>
    <w:rsid w:val="00C20C8C"/>
    <w:rsid w:val="00C21CFA"/>
    <w:rsid w:val="00C22C3B"/>
    <w:rsid w:val="00C236E3"/>
    <w:rsid w:val="00C25E47"/>
    <w:rsid w:val="00C3239E"/>
    <w:rsid w:val="00C362D0"/>
    <w:rsid w:val="00C4107C"/>
    <w:rsid w:val="00C47AE5"/>
    <w:rsid w:val="00C550AA"/>
    <w:rsid w:val="00C563BD"/>
    <w:rsid w:val="00C60240"/>
    <w:rsid w:val="00C65DBD"/>
    <w:rsid w:val="00C66463"/>
    <w:rsid w:val="00C721BA"/>
    <w:rsid w:val="00C7362F"/>
    <w:rsid w:val="00C76E7F"/>
    <w:rsid w:val="00C80971"/>
    <w:rsid w:val="00C8362F"/>
    <w:rsid w:val="00C85C38"/>
    <w:rsid w:val="00C94F52"/>
    <w:rsid w:val="00C95598"/>
    <w:rsid w:val="00C9565F"/>
    <w:rsid w:val="00CB0144"/>
    <w:rsid w:val="00CB0664"/>
    <w:rsid w:val="00CB4E55"/>
    <w:rsid w:val="00CB71A6"/>
    <w:rsid w:val="00CC26A1"/>
    <w:rsid w:val="00CC39F8"/>
    <w:rsid w:val="00CC7499"/>
    <w:rsid w:val="00CD0F5D"/>
    <w:rsid w:val="00D1442C"/>
    <w:rsid w:val="00D2272C"/>
    <w:rsid w:val="00D23F90"/>
    <w:rsid w:val="00D4458C"/>
    <w:rsid w:val="00D460C3"/>
    <w:rsid w:val="00D526CE"/>
    <w:rsid w:val="00D641BF"/>
    <w:rsid w:val="00D67196"/>
    <w:rsid w:val="00D67987"/>
    <w:rsid w:val="00D72698"/>
    <w:rsid w:val="00DA071F"/>
    <w:rsid w:val="00DA57B9"/>
    <w:rsid w:val="00DC1648"/>
    <w:rsid w:val="00DD0B9F"/>
    <w:rsid w:val="00DE681C"/>
    <w:rsid w:val="00E13C1F"/>
    <w:rsid w:val="00E15E03"/>
    <w:rsid w:val="00E222DC"/>
    <w:rsid w:val="00E300E3"/>
    <w:rsid w:val="00E36836"/>
    <w:rsid w:val="00E37BA6"/>
    <w:rsid w:val="00E41BCF"/>
    <w:rsid w:val="00E47D6C"/>
    <w:rsid w:val="00E56B52"/>
    <w:rsid w:val="00E6124C"/>
    <w:rsid w:val="00E63B1B"/>
    <w:rsid w:val="00E750D3"/>
    <w:rsid w:val="00E76D8C"/>
    <w:rsid w:val="00E802CB"/>
    <w:rsid w:val="00E81998"/>
    <w:rsid w:val="00E83806"/>
    <w:rsid w:val="00E83895"/>
    <w:rsid w:val="00E84110"/>
    <w:rsid w:val="00E850DA"/>
    <w:rsid w:val="00E85512"/>
    <w:rsid w:val="00E85E7C"/>
    <w:rsid w:val="00E93C56"/>
    <w:rsid w:val="00EA14EF"/>
    <w:rsid w:val="00EA27A3"/>
    <w:rsid w:val="00EA728D"/>
    <w:rsid w:val="00EB4D5E"/>
    <w:rsid w:val="00EB6573"/>
    <w:rsid w:val="00EC1C48"/>
    <w:rsid w:val="00EF1342"/>
    <w:rsid w:val="00EF5269"/>
    <w:rsid w:val="00EF6A61"/>
    <w:rsid w:val="00F00FCE"/>
    <w:rsid w:val="00F0104D"/>
    <w:rsid w:val="00F018FF"/>
    <w:rsid w:val="00F07C1F"/>
    <w:rsid w:val="00F22671"/>
    <w:rsid w:val="00F27144"/>
    <w:rsid w:val="00F45EB6"/>
    <w:rsid w:val="00F47447"/>
    <w:rsid w:val="00F516A2"/>
    <w:rsid w:val="00F5268A"/>
    <w:rsid w:val="00F604E4"/>
    <w:rsid w:val="00F619D5"/>
    <w:rsid w:val="00F62B52"/>
    <w:rsid w:val="00F8140A"/>
    <w:rsid w:val="00F840C8"/>
    <w:rsid w:val="00FA30FE"/>
    <w:rsid w:val="00FA4BC3"/>
    <w:rsid w:val="00FA6FA6"/>
    <w:rsid w:val="00FB142F"/>
    <w:rsid w:val="00FB352C"/>
    <w:rsid w:val="00FB696E"/>
    <w:rsid w:val="00FB7A92"/>
    <w:rsid w:val="00FC0353"/>
    <w:rsid w:val="00FC546A"/>
    <w:rsid w:val="00FC693F"/>
    <w:rsid w:val="00FD4209"/>
    <w:rsid w:val="00FD46E5"/>
    <w:rsid w:val="00FD5B63"/>
    <w:rsid w:val="00FD695A"/>
    <w:rsid w:val="00FD7EBF"/>
    <w:rsid w:val="00FE0162"/>
    <w:rsid w:val="00FE1123"/>
    <w:rsid w:val="00FF3218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F1D3232E-977D-4DC3-9139-95A7581A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362F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3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3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0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6f299-dc7c-49c5-a3f7-54d1288b5f35" xsi:nil="true"/>
    <lcf76f155ced4ddcb4097134ff3c332f xmlns="2deeec1d-cb6f-4242-aff8-c2598d059fcc">
      <Terms xmlns="http://schemas.microsoft.com/office/infopath/2007/PartnerControls"/>
    </lcf76f155ced4ddcb4097134ff3c332f>
    <Company xmlns="http://schemas.microsoft.com/sharepoint/v3">MCCALLUM BROS LIMITED</Company>
    <FastTrackWebPage xmlns="3f9f7acc-4d99-40e6-b6e9-12f826063963" xsi:nil="true"/>
    <PRA xmlns="3f9f7acc-4d99-40e6-b6e9-12f826063963" xsi:nil="true"/>
    <FastTrackAppType xmlns="3f9f7acc-4d99-40e6-b6e9-12f826063963">Substantive Approval</FastTrackAppType>
    <date xmlns="2deeec1d-cb6f-4242-aff8-c2598d059fcc" xsi:nil="true"/>
    <FastTrackAppID xmlns="3f9f7acc-4d99-40e6-b6e9-12f826063963">FTAA-2511-1150</FastTrackAppID>
    <FastTrackAppTitle xmlns="3f9f7acc-4d99-40e6-b6e9-12f826063963">Bream Bay Sand Extraction Project</FastTrackAppTitle>
    <FastTrackActs xmlns="3f9f7acc-4d99-40e6-b6e9-12f826063963" xsi:nil="true"/>
    <FastTrackTopic xmlns="3f9f7acc-4d99-40e6-b6e9-12f826063963" xsi:nil="true"/>
    <_dlc_DocId xmlns="5ae100dd-7238-47d4-864c-a888c323434e">EPANZ-1167831518-94333</_dlc_DocId>
    <_dlc_DocIdUrl xmlns="5ae100dd-7238-47d4-864c-a888c323434e">
      <Url>https://epaintune.sharepoint.com/sites/EPA/_layouts/15/DocIdRedir.aspx?ID=EPANZ-1167831518-94333</Url>
      <Description>EPANZ-1167831518-94333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astTrack Document" ma:contentTypeID="0x010100E106A414AAFDB04FBE306619CD48353E002F0A2382F357314CA07B1E1FA9C121DE" ma:contentTypeVersion="28" ma:contentTypeDescription="" ma:contentTypeScope="" ma:versionID="479e827f6f4ac05514c7f9fd7ecbc975">
  <xsd:schema xmlns:xsd="http://www.w3.org/2001/XMLSchema" xmlns:xs="http://www.w3.org/2001/XMLSchema" xmlns:p="http://schemas.microsoft.com/office/2006/metadata/properties" xmlns:ns1="http://schemas.microsoft.com/sharepoint/v3" xmlns:ns2="3f9f7acc-4d99-40e6-b6e9-12f826063963" xmlns:ns3="5ae100dd-7238-47d4-864c-a888c323434e" xmlns:ns4="2deeec1d-cb6f-4242-aff8-c2598d059fcc" xmlns:ns5="d9c6f299-dc7c-49c5-a3f7-54d1288b5f35" targetNamespace="http://schemas.microsoft.com/office/2006/metadata/properties" ma:root="true" ma:fieldsID="9d1da27b16978719c3418010fda63282" ns1:_="" ns2:_="" ns3:_="" ns4:_="" ns5:_="">
    <xsd:import namespace="http://schemas.microsoft.com/sharepoint/v3"/>
    <xsd:import namespace="3f9f7acc-4d99-40e6-b6e9-12f826063963"/>
    <xsd:import namespace="5ae100dd-7238-47d4-864c-a888c323434e"/>
    <xsd:import namespace="2deeec1d-cb6f-4242-aff8-c2598d059fcc"/>
    <xsd:import namespace="d9c6f299-dc7c-49c5-a3f7-54d1288b5f35"/>
    <xsd:element name="properties">
      <xsd:complexType>
        <xsd:sequence>
          <xsd:element name="documentManagement">
            <xsd:complexType>
              <xsd:all>
                <xsd:element ref="ns2:FastTrackTopic" minOccurs="0"/>
                <xsd:element ref="ns2:FastTrackWebPage" minOccurs="0"/>
                <xsd:element ref="ns2:PRA" minOccurs="0"/>
                <xsd:element ref="ns2:FastTrackAppID" minOccurs="0"/>
                <xsd:element ref="ns2:FastTrackAppTitle" minOccurs="0"/>
                <xsd:element ref="ns2:FastTrackAppType" minOccurs="0"/>
                <xsd:element ref="ns1:Company" minOccurs="0"/>
                <xsd:element ref="ns2:FastTrackActs" minOccurs="0"/>
                <xsd:element ref="ns3:_dlc_DocIdPersistId" minOccurs="0"/>
                <xsd:element ref="ns3:_dlc_DocId" minOccurs="0"/>
                <xsd:element ref="ns3:_dlc_DocIdUr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date" minOccurs="0"/>
                <xsd:element ref="ns4:MediaLengthInSecond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8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f7acc-4d99-40e6-b6e9-12f826063963" elementFormDefault="qualified">
    <xsd:import namespace="http://schemas.microsoft.com/office/2006/documentManagement/types"/>
    <xsd:import namespace="http://schemas.microsoft.com/office/infopath/2007/PartnerControls"/>
    <xsd:element name="FastTrackTopic" ma:index="2" nillable="true" ma:displayName="Fast Track Topic" ma:format="Dropdown" ma:internalName="FastTrackTopic">
      <xsd:simpleType>
        <xsd:restriction base="dms:Choice">
          <xsd:enumeration value="Contract Management"/>
          <xsd:enumeration value="Project Planning"/>
          <xsd:enumeration value="Close Out"/>
          <xsd:enumeration value="Applicant Communication"/>
          <xsd:enumeration value="Redacted Application Documents"/>
          <xsd:enumeration value="Media and General Communications"/>
          <xsd:enumeration value="Local Authority Communication"/>
          <xsd:enumeration value="Application Documents"/>
          <xsd:enumeration value="Complete Assessment"/>
          <xsd:enumeration value="Government Agency Communication"/>
          <xsd:enumeration value="Expert Panel Communication"/>
          <xsd:enumeration value="Media and General Communications"/>
          <xsd:enumeration value="Identification of Parties"/>
          <xsd:enumeration value="Comments from Parties"/>
          <xsd:enumeration value="Process Updates"/>
          <xsd:enumeration value="Invitation for Comment"/>
          <xsd:enumeration value="Local Authority Communication"/>
          <xsd:enumeration value="Government Agency Communication"/>
          <xsd:enumeration value="Expert Panel Communication"/>
          <xsd:enumeration value="Applicant Communication"/>
          <xsd:enumeration value="unsolicited communication"/>
          <xsd:enumeration value="Contractor Payments"/>
          <xsd:enumeration value="Cost Objections"/>
          <xsd:enumeration value="Project Finance"/>
          <xsd:enumeration value="Expert Panel Payments"/>
          <xsd:enumeration value="Applicant Cost Recovery"/>
          <xsd:enumeration value="Other Payments"/>
          <xsd:enumeration value="Internal Communication"/>
          <xsd:enumeration value="Local Authority Communication"/>
          <xsd:enumeration value="Further Information Requests"/>
          <xsd:enumeration value="Draft Application"/>
          <xsd:enumeration value="Applicant Communication"/>
          <xsd:enumeration value="Government Agency Communication"/>
          <xsd:enumeration value="Final Decision"/>
          <xsd:enumeration value="Applicant Communication"/>
          <xsd:enumeration value="Expert Panel Communication"/>
          <xsd:enumeration value="Draft Conditions"/>
          <xsd:enumeration value="Decision Release"/>
          <xsd:enumeration value="Draft Decision"/>
          <xsd:enumeration value="Resource consent, designation and certificate of compliance"/>
          <xsd:enumeration value="Media and General Communications"/>
          <xsd:enumeration value="Communication with Parties"/>
          <xsd:enumeration value="EPA Advice"/>
          <xsd:enumeration value="Local Authority Advice"/>
          <xsd:enumeration value="Decision and Appeal"/>
          <xsd:enumeration value="Reports and Advice"/>
          <xsd:enumeration value="Panel Correspondence"/>
          <xsd:enumeration value="Invited Comments"/>
          <xsd:enumeration value="Redacted Application Documents"/>
          <xsd:enumeration value="Government Agency Communication"/>
          <xsd:enumeration value="Applicant Communication"/>
          <xsd:enumeration value="Communication with Parties"/>
          <xsd:enumeration value="Local Authority Communication"/>
          <xsd:enumeration value="Expert Panel Communication"/>
          <xsd:enumeration value="Applicant Communication"/>
          <xsd:enumeration value="Further Information Requests"/>
          <xsd:enumeration value="Local Authority Communication"/>
          <xsd:enumeration value="Communication with Parties"/>
          <xsd:enumeration value="Government Agency Communication"/>
          <xsd:enumeration value="Expert reports and advice"/>
          <xsd:enumeration value="Local Authority Report and Advice"/>
          <xsd:enumeration value="Expert Panel Communication"/>
          <xsd:enumeration value="Applicant Communication"/>
          <xsd:enumeration value="Expert Panel Communication"/>
          <xsd:enumeration value="Communication with Parties"/>
          <xsd:enumeration value="Media and General Communications"/>
          <xsd:enumeration value="Iwi Authority Communication"/>
          <xsd:enumeration value="Appointments"/>
          <xsd:enumeration value="COI Register"/>
          <xsd:enumeration value="Register of Commissioners"/>
          <xsd:enumeration value="Local Authority Communication"/>
          <xsd:enumeration value="Convener Communication"/>
          <xsd:enumeration value="Government Agency Communication"/>
          <xsd:enumeration value="Pre-Hearing"/>
          <xsd:enumeration value="Media and General Communications"/>
          <xsd:enumeration value="Evidence"/>
          <xsd:enumeration value="Documents Presented at Hearing"/>
          <xsd:enumeration value="Applicant Communication"/>
          <xsd:enumeration value="Contractor Communication"/>
          <xsd:enumeration value="Government Agency Communication"/>
          <xsd:enumeration value="Hearing Operations"/>
          <xsd:enumeration value="Hearing Schedule"/>
          <xsd:enumeration value="Transcript and Recordings and Proceedings"/>
          <xsd:enumeration value="Internal Communication"/>
          <xsd:enumeration value="Communication with Parties"/>
          <xsd:enumeration value="Internal Communication"/>
          <xsd:enumeration value="Appeals"/>
          <xsd:enumeration value="Communication with Parties"/>
          <xsd:enumeration value="Applicant Communication"/>
          <xsd:enumeration value="Local Authority Communication"/>
          <xsd:enumeration value="Media and General Communications"/>
          <xsd:enumeration value="COI Register"/>
          <xsd:enumeration value="Travel and Accommodation"/>
          <xsd:enumeration value="Expert Panel Issued Documents"/>
          <xsd:enumeration value="Government Agency Communication"/>
          <xsd:enumeration value="Meetings"/>
          <xsd:enumeration value="Administration"/>
          <xsd:enumeration value="Applicant"/>
          <xsd:enumeration value="Panel Members"/>
          <xsd:enumeration value="Contractor Communication"/>
          <xsd:enumeration value="Local Authority Communication"/>
          <xsd:enumeration value="Expert Panel Communication"/>
          <xsd:enumeration value="Internal Communication"/>
          <xsd:enumeration value="Applicant Communication"/>
          <xsd:enumeration value="Communication with Parties"/>
          <xsd:enumeration value="Evidence"/>
          <xsd:enumeration value="Hearing Planning"/>
        </xsd:restriction>
      </xsd:simpleType>
    </xsd:element>
    <xsd:element name="FastTrackWebPage" ma:index="3" nillable="true" ma:displayName="Fast Track Web Page" ma:format="Dropdown" ma:internalName="FastTrackWebPage">
      <xsd:simpleType>
        <xsd:restriction base="dms:Choice">
          <xsd:enumeration value="Application"/>
          <xsd:enumeration value="Comments from invited parties"/>
          <xsd:enumeration value="Correspondence to and from the panel"/>
          <xsd:enumeration value="Expert Panel"/>
          <xsd:enumeration value="Draft conditions"/>
          <xsd:enumeration value="Reports and advice"/>
          <xsd:enumeration value="Decision notice"/>
          <xsd:enumeration value="Hearing"/>
          <xsd:enumeration value="Appeal"/>
          <xsd:enumeration value="Appeal - Expert conferencing"/>
          <xsd:enumeration value="Applicant Responses"/>
        </xsd:restriction>
      </xsd:simpleType>
    </xsd:element>
    <xsd:element name="PRA" ma:index="4" nillable="true" ma:displayName="PRA" ma:internalName="PRA">
      <xsd:simpleType>
        <xsd:restriction base="dms:Text">
          <xsd:maxLength value="255"/>
        </xsd:restriction>
      </xsd:simpleType>
    </xsd:element>
    <xsd:element name="FastTrackAppID" ma:index="5" nillable="true" ma:displayName="Unique Project ID" ma:internalName="FastTrackAppID">
      <xsd:simpleType>
        <xsd:restriction base="dms:Text">
          <xsd:maxLength value="255"/>
        </xsd:restriction>
      </xsd:simpleType>
    </xsd:element>
    <xsd:element name="FastTrackAppTitle" ma:index="6" nillable="true" ma:displayName="Project Name/Title" ma:internalName="FastTrackAppTitle">
      <xsd:simpleType>
        <xsd:restriction base="dms:Text">
          <xsd:maxLength value="255"/>
        </xsd:restriction>
      </xsd:simpleType>
    </xsd:element>
    <xsd:element name="FastTrackAppType" ma:index="7" nillable="true" ma:displayName="Application Type" ma:format="Dropdown" ma:internalName="FastTrackAppType">
      <xsd:simpleType>
        <xsd:restriction base="dms:Choice">
          <xsd:enumeration value="Referral"/>
          <xsd:enumeration value="Substantive"/>
        </xsd:restriction>
      </xsd:simpleType>
    </xsd:element>
    <xsd:element name="FastTrackActs" ma:index="9" nillable="true" ma:displayName="Fast Track Acts" ma:internalName="FastTrackA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source Management Act 1991"/>
                    <xsd:enumeration value="Resource Management Act 1991 - Notice of Requirement"/>
                    <xsd:enumeration value="Heritage New Zealand Pouhere Taonga Act 2014"/>
                    <xsd:enumeration value="The Wildlife Act 1953"/>
                    <xsd:enumeration value="The Conservation Act 1987"/>
                    <xsd:enumeration value="The Reserves Act 1977"/>
                    <xsd:enumeration value="The Exclusive Economic Zone and Continental Shelf (Environmental Effects) Act 2012"/>
                    <xsd:enumeration value="The Crown Minerals Act 1991"/>
                    <xsd:enumeration value="The Fisheries Act 1996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100dd-7238-47d4-864c-a888c323434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ec1d-cb6f-4242-aff8-c2598d05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12b3a59-6397-4d15-930a-dc7894fa5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f299-dc7c-49c5-a3f7-54d1288b5f3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332c9e0-a3cb-41c5-b68a-59db140cf3a4}" ma:internalName="TaxCatchAll" ma:showField="CatchAllData" ma:web="5ae100dd-7238-47d4-864c-a888c323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9AECE3-8B3F-4419-A1AC-5C18F75F1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BA28E-B648-4FDB-AD59-84CFFF195E2B}">
  <ds:schemaRefs>
    <ds:schemaRef ds:uri="http://schemas.microsoft.com/office/2006/metadata/properties"/>
    <ds:schemaRef ds:uri="http://schemas.microsoft.com/office/infopath/2007/PartnerControls"/>
    <ds:schemaRef ds:uri="0e3bb1c0-9590-4e76-97ab-b5cd0e2d8261"/>
    <ds:schemaRef ds:uri="d3642035-8c68-43f7-90b1-3d653db3452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902831-78C6-4DB9-A198-77E7FB876D8E}"/>
</file>

<file path=customXml/itemProps4.xml><?xml version="1.0" encoding="utf-8"?>
<ds:datastoreItem xmlns:ds="http://schemas.openxmlformats.org/officeDocument/2006/customXml" ds:itemID="{F61B6518-CFBA-4C85-A2F6-3401A95AD2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3F2EFF-1368-4603-B3FE-3AAB0CEAA7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Gooding</dc:creator>
  <cp:keywords/>
  <dc:description>generated by python-docx</dc:description>
  <cp:lastModifiedBy>Department of Conservation</cp:lastModifiedBy>
  <cp:revision>323</cp:revision>
  <dcterms:created xsi:type="dcterms:W3CDTF">2026-05-21T19:53:00Z</dcterms:created>
  <dcterms:modified xsi:type="dcterms:W3CDTF">2026-05-25T23:03:00Z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ee7273-0db7-44cc-b9e4-a4e4dce5f863_Enabled">
    <vt:lpwstr>true</vt:lpwstr>
  </property>
  <property fmtid="{D5CDD505-2E9C-101B-9397-08002B2CF9AE}" pid="3" name="MSIP_Label_85ee7273-0db7-44cc-b9e4-a4e4dce5f863_SetDate">
    <vt:lpwstr>2026-05-21T07:28:12Z</vt:lpwstr>
  </property>
  <property fmtid="{D5CDD505-2E9C-101B-9397-08002B2CF9AE}" pid="4" name="MSIP_Label_85ee7273-0db7-44cc-b9e4-a4e4dce5f863_Method">
    <vt:lpwstr>Standard</vt:lpwstr>
  </property>
  <property fmtid="{D5CDD505-2E9C-101B-9397-08002B2CF9AE}" pid="5" name="MSIP_Label_85ee7273-0db7-44cc-b9e4-a4e4dce5f863_Name">
    <vt:lpwstr>Unclassified - Information Leadership Session</vt:lpwstr>
  </property>
  <property fmtid="{D5CDD505-2E9C-101B-9397-08002B2CF9AE}" pid="6" name="MSIP_Label_85ee7273-0db7-44cc-b9e4-a4e4dce5f863_SiteId">
    <vt:lpwstr>f0cbb24f-a2f6-498f-b536-6eb9a13a357c</vt:lpwstr>
  </property>
  <property fmtid="{D5CDD505-2E9C-101B-9397-08002B2CF9AE}" pid="7" name="MSIP_Label_85ee7273-0db7-44cc-b9e4-a4e4dce5f863_ActionId">
    <vt:lpwstr>74d8d296-451f-461c-9564-04a40d741761</vt:lpwstr>
  </property>
  <property fmtid="{D5CDD505-2E9C-101B-9397-08002B2CF9AE}" pid="8" name="MSIP_Label_85ee7273-0db7-44cc-b9e4-a4e4dce5f863_ContentBits">
    <vt:lpwstr>0</vt:lpwstr>
  </property>
  <property fmtid="{D5CDD505-2E9C-101B-9397-08002B2CF9AE}" pid="9" name="ContentTypeId">
    <vt:lpwstr>0x010100E106A414AAFDB04FBE306619CD48353E002F0A2382F357314CA07B1E1FA9C121DE</vt:lpwstr>
  </property>
  <property fmtid="{D5CDD505-2E9C-101B-9397-08002B2CF9AE}" pid="10" name="MediaServiceImageTags">
    <vt:lpwstr/>
  </property>
  <property fmtid="{D5CDD505-2E9C-101B-9397-08002B2CF9AE}" pid="11" name="_dlc_DocIdItemGuid">
    <vt:lpwstr>35025695-d67f-447a-84f0-3dbf9f847ad8</vt:lpwstr>
  </property>
</Properties>
</file>